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EC7E8">
      <w:pPr>
        <w:widowControl/>
        <w:shd w:val="clear" w:color="auto" w:fill="FFFFFF"/>
        <w:jc w:val="left"/>
        <w:rPr>
          <w:rFonts w:hint="eastAsia" w:ascii="微软雅黑" w:hAnsi="微软雅黑" w:eastAsia="微软雅黑" w:cs="宋体"/>
          <w:color w:val="555555"/>
          <w:kern w:val="0"/>
          <w:sz w:val="24"/>
        </w:rPr>
      </w:pPr>
      <w:r>
        <w:rPr>
          <w:rFonts w:hint="eastAsia" w:ascii="微软雅黑" w:hAnsi="微软雅黑" w:eastAsia="微软雅黑" w:cs="宋体"/>
          <w:color w:val="555555"/>
          <w:kern w:val="0"/>
          <w:sz w:val="24"/>
          <w:lang w:eastAsia="zh-CN"/>
        </w:rPr>
        <w:t>附件：</w:t>
      </w:r>
      <w:r>
        <w:rPr>
          <w:rFonts w:hint="eastAsia" w:ascii="微软雅黑" w:hAnsi="微软雅黑" w:eastAsia="微软雅黑" w:cs="宋体"/>
          <w:color w:val="555555"/>
          <w:kern w:val="0"/>
          <w:sz w:val="24"/>
        </w:rPr>
        <w:t> </w:t>
      </w:r>
    </w:p>
    <w:p w14:paraId="380C46EA">
      <w:pPr>
        <w:widowControl/>
        <w:shd w:val="clear" w:color="auto" w:fill="FFFFFF"/>
        <w:jc w:val="both"/>
        <w:rPr>
          <w:rFonts w:hint="eastAsia" w:ascii="微软雅黑" w:hAnsi="微软雅黑" w:eastAsia="微软雅黑" w:cs="微软雅黑"/>
          <w:b/>
          <w:color w:val="555555"/>
          <w:kern w:val="0"/>
          <w:sz w:val="36"/>
          <w:szCs w:val="36"/>
          <w:shd w:val="clear" w:color="auto" w:fill="FFFFFF"/>
          <w:lang w:val="en-US" w:eastAsia="zh-CN"/>
        </w:rPr>
      </w:pPr>
      <w:r>
        <w:rPr>
          <w:rFonts w:hint="eastAsia" w:ascii="微软雅黑" w:hAnsi="微软雅黑" w:eastAsia="微软雅黑" w:cs="微软雅黑"/>
          <w:b/>
          <w:color w:val="555555"/>
          <w:kern w:val="0"/>
          <w:sz w:val="36"/>
          <w:szCs w:val="36"/>
          <w:shd w:val="clear" w:color="auto" w:fill="FFFFFF"/>
          <w:lang w:eastAsia="zh-CN"/>
        </w:rPr>
        <w:t>《小说选刊》“包公故里杯</w:t>
      </w:r>
      <w:r>
        <w:rPr>
          <w:rFonts w:hint="eastAsia" w:ascii="微软雅黑" w:hAnsi="微软雅黑" w:eastAsia="微软雅黑" w:cs="微软雅黑"/>
          <w:b/>
          <w:color w:val="555555"/>
          <w:kern w:val="0"/>
          <w:sz w:val="36"/>
          <w:szCs w:val="36"/>
          <w:shd w:val="clear" w:color="auto" w:fill="FFFFFF"/>
          <w:lang w:val="en-US" w:eastAsia="zh-CN"/>
        </w:rPr>
        <w:t>.优秀小说奖</w:t>
      </w:r>
      <w:r>
        <w:rPr>
          <w:rFonts w:hint="default" w:ascii="微软雅黑" w:hAnsi="微软雅黑" w:eastAsia="微软雅黑" w:cs="微软雅黑"/>
          <w:b/>
          <w:color w:val="555555"/>
          <w:kern w:val="0"/>
          <w:sz w:val="36"/>
          <w:szCs w:val="36"/>
          <w:shd w:val="clear" w:color="auto" w:fill="FFFFFF"/>
          <w:lang w:val="en-US" w:eastAsia="zh-CN"/>
        </w:rPr>
        <w:t>”</w:t>
      </w:r>
      <w:r>
        <w:rPr>
          <w:rFonts w:hint="eastAsia" w:ascii="微软雅黑" w:hAnsi="微软雅黑" w:eastAsia="微软雅黑" w:cs="微软雅黑"/>
          <w:b/>
          <w:color w:val="555555"/>
          <w:kern w:val="0"/>
          <w:sz w:val="36"/>
          <w:szCs w:val="36"/>
          <w:shd w:val="clear" w:color="auto" w:fill="FFFFFF"/>
          <w:lang w:val="en-US" w:eastAsia="zh-CN"/>
        </w:rPr>
        <w:t>颁奖盛典</w:t>
      </w:r>
      <w:bookmarkStart w:id="0" w:name="_GoBack"/>
      <w:bookmarkEnd w:id="0"/>
    </w:p>
    <w:p w14:paraId="37427DD5">
      <w:pPr>
        <w:widowControl/>
        <w:shd w:val="clear" w:color="auto" w:fill="FFFFFF"/>
        <w:ind w:firstLine="2161" w:firstLineChars="600"/>
        <w:jc w:val="both"/>
        <w:rPr>
          <w:rFonts w:hint="eastAsia" w:ascii="微软雅黑" w:hAnsi="微软雅黑" w:eastAsia="微软雅黑" w:cs="微软雅黑"/>
          <w:b/>
          <w:color w:val="555555"/>
          <w:kern w:val="0"/>
          <w:sz w:val="36"/>
          <w:szCs w:val="36"/>
          <w:shd w:val="clear" w:color="auto" w:fill="FFFFFF"/>
        </w:rPr>
      </w:pPr>
      <w:r>
        <w:rPr>
          <w:rFonts w:hint="eastAsia" w:ascii="微软雅黑" w:hAnsi="微软雅黑" w:eastAsia="微软雅黑" w:cs="微软雅黑"/>
          <w:b/>
          <w:color w:val="555555"/>
          <w:kern w:val="0"/>
          <w:sz w:val="36"/>
          <w:szCs w:val="36"/>
          <w:shd w:val="clear" w:color="auto" w:fill="FFFFFF"/>
          <w:lang w:val="en-US" w:eastAsia="zh-CN"/>
        </w:rPr>
        <w:t>活动采购</w:t>
      </w:r>
      <w:r>
        <w:rPr>
          <w:rFonts w:hint="eastAsia" w:ascii="微软雅黑" w:hAnsi="微软雅黑" w:eastAsia="微软雅黑" w:cs="微软雅黑"/>
          <w:b/>
          <w:color w:val="555555"/>
          <w:kern w:val="0"/>
          <w:sz w:val="36"/>
          <w:szCs w:val="36"/>
          <w:shd w:val="clear" w:color="auto" w:fill="FFFFFF"/>
        </w:rPr>
        <w:t>询价函</w:t>
      </w:r>
    </w:p>
    <w:tbl>
      <w:tblPr>
        <w:tblStyle w:val="6"/>
        <w:tblW w:w="1004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106"/>
        <w:gridCol w:w="757"/>
        <w:gridCol w:w="2701"/>
        <w:gridCol w:w="1144"/>
        <w:gridCol w:w="469"/>
        <w:gridCol w:w="972"/>
        <w:gridCol w:w="678"/>
        <w:gridCol w:w="2219"/>
      </w:tblGrid>
      <w:tr w14:paraId="27CDFD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06" w:type="dxa"/>
            <w:tcBorders>
              <w:top w:val="single" w:color="auto" w:sz="8" w:space="0"/>
              <w:left w:val="single" w:color="auto" w:sz="8" w:space="0"/>
              <w:bottom w:val="single" w:color="auto" w:sz="8" w:space="0"/>
              <w:right w:val="single" w:color="auto" w:sz="8" w:space="0"/>
            </w:tcBorders>
            <w:shd w:val="clear" w:color="auto" w:fill="FFFFFF"/>
          </w:tcPr>
          <w:p w14:paraId="38B5AC9A">
            <w:pPr>
              <w:widowControl/>
              <w:jc w:val="center"/>
              <w:rPr>
                <w:rFonts w:ascii="宋体" w:hAnsi="宋体" w:eastAsia="宋体" w:cs="宋体"/>
                <w:b/>
                <w:color w:val="000000" w:themeColor="text1"/>
                <w:kern w:val="0"/>
                <w:sz w:val="40"/>
                <w:szCs w:val="40"/>
                <w:shd w:val="clear" w:color="auto" w:fill="auto"/>
                <w14:textFill>
                  <w14:solidFill>
                    <w14:schemeClr w14:val="tx1"/>
                  </w14:solidFill>
                </w14:textFill>
              </w:rPr>
            </w:pPr>
          </w:p>
        </w:tc>
        <w:tc>
          <w:tcPr>
            <w:tcW w:w="8940"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22A43932">
            <w:pPr>
              <w:widowControl/>
              <w:jc w:val="center"/>
              <w:rPr>
                <w:color w:val="000000" w:themeColor="text1"/>
                <w:shd w:val="clear" w:color="auto" w:fill="auto"/>
                <w14:textFill>
                  <w14:solidFill>
                    <w14:schemeClr w14:val="tx1"/>
                  </w14:solidFill>
                </w14:textFill>
              </w:rPr>
            </w:pPr>
            <w:r>
              <w:rPr>
                <w:rFonts w:hint="eastAsia" w:ascii="宋体" w:hAnsi="宋体" w:eastAsia="宋体" w:cs="宋体"/>
                <w:b/>
                <w:color w:val="000000" w:themeColor="text1"/>
                <w:kern w:val="0"/>
                <w:sz w:val="40"/>
                <w:szCs w:val="40"/>
                <w:shd w:val="clear" w:color="auto" w:fill="auto"/>
                <w14:textFill>
                  <w14:solidFill>
                    <w14:schemeClr w14:val="tx1"/>
                  </w14:solidFill>
                </w14:textFill>
              </w:rPr>
              <w:t>项目采购询价函</w:t>
            </w:r>
          </w:p>
        </w:tc>
      </w:tr>
      <w:tr w14:paraId="422F7B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06" w:type="dxa"/>
            <w:tcBorders>
              <w:top w:val="single" w:color="auto" w:sz="8" w:space="0"/>
              <w:left w:val="single" w:color="auto" w:sz="8" w:space="0"/>
              <w:bottom w:val="single" w:color="auto" w:sz="8" w:space="0"/>
              <w:right w:val="single" w:color="auto" w:sz="8" w:space="0"/>
            </w:tcBorders>
            <w:shd w:val="clear" w:color="auto" w:fill="FFFFFF"/>
          </w:tcPr>
          <w:p w14:paraId="1AC0A2A0">
            <w:pPr>
              <w:widowControl/>
              <w:jc w:val="left"/>
              <w:rPr>
                <w:rFonts w:ascii="宋体" w:hAnsi="宋体" w:eastAsia="宋体" w:cs="宋体"/>
                <w:b/>
                <w:color w:val="000000" w:themeColor="text1"/>
                <w:kern w:val="0"/>
                <w:sz w:val="28"/>
                <w:szCs w:val="28"/>
                <w:shd w:val="clear" w:color="auto" w:fill="auto"/>
                <w14:textFill>
                  <w14:solidFill>
                    <w14:schemeClr w14:val="tx1"/>
                  </w14:solidFill>
                </w14:textFill>
              </w:rPr>
            </w:pPr>
          </w:p>
        </w:tc>
        <w:tc>
          <w:tcPr>
            <w:tcW w:w="8940"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4EE56C46">
            <w:pPr>
              <w:widowControl/>
              <w:jc w:val="left"/>
              <w:rPr>
                <w:color w:val="000000" w:themeColor="text1"/>
                <w:shd w:val="clear" w:color="auto" w:fill="auto"/>
                <w14:textFill>
                  <w14:solidFill>
                    <w14:schemeClr w14:val="tx1"/>
                  </w14:solidFill>
                </w14:textFill>
              </w:rPr>
            </w:pPr>
            <w:r>
              <w:rPr>
                <w:rFonts w:hint="eastAsia" w:ascii="宋体" w:hAnsi="宋体" w:eastAsia="宋体" w:cs="宋体"/>
                <w:b/>
                <w:color w:val="000000" w:themeColor="text1"/>
                <w:kern w:val="0"/>
                <w:sz w:val="28"/>
                <w:szCs w:val="28"/>
                <w:shd w:val="clear" w:color="auto" w:fill="auto"/>
                <w14:textFill>
                  <w14:solidFill>
                    <w14:schemeClr w14:val="tx1"/>
                  </w14:solidFill>
                </w14:textFill>
              </w:rPr>
              <w:t>一、项目内容</w:t>
            </w:r>
          </w:p>
        </w:tc>
      </w:tr>
      <w:tr w14:paraId="14A401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52" w:hRule="atLeast"/>
          <w:jc w:val="center"/>
        </w:trPr>
        <w:tc>
          <w:tcPr>
            <w:tcW w:w="186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3516D2E">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 报价供应商</w:t>
            </w:r>
          </w:p>
          <w:p w14:paraId="105838D5">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（盖章）</w:t>
            </w:r>
          </w:p>
        </w:tc>
        <w:tc>
          <w:tcPr>
            <w:tcW w:w="384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7A1E6109">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p>
        </w:tc>
        <w:tc>
          <w:tcPr>
            <w:tcW w:w="1441"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F30F403">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联系人</w:t>
            </w:r>
          </w:p>
        </w:tc>
        <w:tc>
          <w:tcPr>
            <w:tcW w:w="2897"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C62F724">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p>
        </w:tc>
      </w:tr>
      <w:tr w14:paraId="2B308E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2" w:hRule="atLeast"/>
          <w:jc w:val="center"/>
        </w:trPr>
        <w:tc>
          <w:tcPr>
            <w:tcW w:w="186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7025E8">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供应商地址</w:t>
            </w:r>
          </w:p>
        </w:tc>
        <w:tc>
          <w:tcPr>
            <w:tcW w:w="3845"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3CEADEC3">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p>
        </w:tc>
        <w:tc>
          <w:tcPr>
            <w:tcW w:w="1441"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568C95E">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联系电话</w:t>
            </w:r>
          </w:p>
        </w:tc>
        <w:tc>
          <w:tcPr>
            <w:tcW w:w="2897"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F7DC168">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p>
        </w:tc>
      </w:tr>
      <w:tr w14:paraId="21A7B0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DFCBB33">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项目</w:t>
            </w:r>
          </w:p>
        </w:tc>
        <w:tc>
          <w:tcPr>
            <w:tcW w:w="270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C099DE0">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名称</w:t>
            </w:r>
          </w:p>
        </w:tc>
        <w:tc>
          <w:tcPr>
            <w:tcW w:w="1613" w:type="dxa"/>
            <w:gridSpan w:val="2"/>
            <w:tcBorders>
              <w:top w:val="single" w:color="auto" w:sz="8" w:space="0"/>
              <w:left w:val="single" w:color="auto" w:sz="8" w:space="0"/>
              <w:bottom w:val="single" w:color="auto" w:sz="8" w:space="0"/>
              <w:right w:val="single" w:color="auto" w:sz="8" w:space="0"/>
            </w:tcBorders>
            <w:shd w:val="clear" w:color="auto" w:fill="FFFFFF"/>
          </w:tcPr>
          <w:p w14:paraId="077FF4B4">
            <w:pPr>
              <w:widowControl/>
              <w:jc w:val="center"/>
              <w:rPr>
                <w:rFonts w:hint="eastAsia" w:ascii="微软雅黑" w:hAnsi="微软雅黑" w:eastAsia="微软雅黑" w:cs="微软雅黑"/>
                <w:color w:val="000000" w:themeColor="text1"/>
                <w:kern w:val="0"/>
                <w:sz w:val="24"/>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数量</w:t>
            </w:r>
          </w:p>
        </w:tc>
        <w:tc>
          <w:tcPr>
            <w:tcW w:w="16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50A99A6">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金额</w:t>
            </w: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（元）</w:t>
            </w:r>
          </w:p>
        </w:tc>
        <w:tc>
          <w:tcPr>
            <w:tcW w:w="221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AACB9AD">
            <w:pPr>
              <w:widowControl/>
              <w:jc w:val="center"/>
              <w:rPr>
                <w:rFonts w:hint="eastAsia" w:ascii="微软雅黑" w:hAnsi="微软雅黑" w:eastAsia="微软雅黑" w:cs="微软雅黑"/>
                <w:color w:val="000000" w:themeColor="text1"/>
                <w:kern w:val="0"/>
                <w:sz w:val="24"/>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备注</w:t>
            </w:r>
          </w:p>
        </w:tc>
      </w:tr>
      <w:tr w14:paraId="3831BC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1" w:hRule="exact"/>
          <w:jc w:val="center"/>
        </w:trPr>
        <w:tc>
          <w:tcPr>
            <w:tcW w:w="1863" w:type="dxa"/>
            <w:gridSpan w:val="2"/>
            <w:vMerge w:val="restart"/>
            <w:tcBorders>
              <w:left w:val="outset" w:color="auto" w:sz="8" w:space="0"/>
              <w:right w:val="outset" w:color="auto" w:sz="8" w:space="0"/>
            </w:tcBorders>
            <w:shd w:val="clear" w:color="auto" w:fill="FFFFFF"/>
            <w:tcMar>
              <w:top w:w="0" w:type="dxa"/>
              <w:left w:w="0" w:type="dxa"/>
              <w:bottom w:w="0" w:type="dxa"/>
              <w:right w:w="0" w:type="dxa"/>
            </w:tcMar>
            <w:vAlign w:val="center"/>
          </w:tcPr>
          <w:p w14:paraId="07F93142">
            <w:pPr>
              <w:rPr>
                <w:rFonts w:ascii="微软雅黑" w:hAnsi="微软雅黑" w:eastAsia="微软雅黑" w:cs="微软雅黑"/>
                <w:color w:val="000000" w:themeColor="text1"/>
                <w:szCs w:val="21"/>
                <w:shd w:val="clear" w:color="auto" w:fill="auto"/>
                <w14:textFill>
                  <w14:solidFill>
                    <w14:schemeClr w14:val="tx1"/>
                  </w14:solidFill>
                </w14:textFill>
              </w:rPr>
            </w:pPr>
            <w:r>
              <w:rPr>
                <w:rFonts w:hint="eastAsia" w:ascii="微软雅黑" w:hAnsi="微软雅黑" w:eastAsia="微软雅黑" w:cs="微软雅黑"/>
                <w:color w:val="000000" w:themeColor="text1"/>
                <w:szCs w:val="21"/>
                <w:shd w:val="clear" w:color="auto" w:fill="auto"/>
                <w14:textFill>
                  <w14:solidFill>
                    <w14:schemeClr w14:val="tx1"/>
                  </w14:solidFill>
                </w14:textFill>
              </w:rPr>
              <w:t> </w:t>
            </w:r>
            <w:r>
              <w:rPr>
                <w:rFonts w:hint="eastAsia" w:ascii="微软雅黑" w:hAnsi="微软雅黑" w:eastAsia="微软雅黑" w:cs="微软雅黑"/>
                <w:b/>
                <w:bCs/>
                <w:color w:val="000000" w:themeColor="text1"/>
                <w:szCs w:val="21"/>
                <w:shd w:val="clear" w:color="auto" w:fill="auto"/>
                <w14:textFill>
                  <w14:solidFill>
                    <w14:schemeClr w14:val="tx1"/>
                  </w14:solidFill>
                </w14:textFill>
              </w:rPr>
              <w:t>《小说选刊》“包公故里杯.优秀小说奖</w:t>
            </w:r>
            <w:r>
              <w:rPr>
                <w:rFonts w:hint="default" w:ascii="微软雅黑" w:hAnsi="微软雅黑" w:eastAsia="微软雅黑" w:cs="微软雅黑"/>
                <w:b/>
                <w:bCs/>
                <w:color w:val="000000" w:themeColor="text1"/>
                <w:szCs w:val="21"/>
                <w:shd w:val="clear" w:color="auto" w:fill="auto"/>
                <w:lang w:val="en-US" w:eastAsia="zh-CN"/>
                <w14:textFill>
                  <w14:solidFill>
                    <w14:schemeClr w14:val="tx1"/>
                  </w14:solidFill>
                </w14:textFill>
              </w:rPr>
              <w:t>”</w:t>
            </w:r>
            <w:r>
              <w:rPr>
                <w:rFonts w:hint="eastAsia" w:ascii="微软雅黑" w:hAnsi="微软雅黑" w:eastAsia="微软雅黑" w:cs="微软雅黑"/>
                <w:b/>
                <w:bCs/>
                <w:color w:val="000000" w:themeColor="text1"/>
                <w:szCs w:val="21"/>
                <w:shd w:val="clear" w:color="auto" w:fill="auto"/>
                <w14:textFill>
                  <w14:solidFill>
                    <w14:schemeClr w14:val="tx1"/>
                  </w14:solidFill>
                </w14:textFill>
              </w:rPr>
              <w:t>颁奖盛典活动</w:t>
            </w:r>
          </w:p>
        </w:tc>
        <w:tc>
          <w:tcPr>
            <w:tcW w:w="270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E9BAEB7">
            <w:pPr>
              <w:widowControl/>
              <w:jc w:val="center"/>
              <w:rPr>
                <w:rFonts w:hint="eastAsia" w:ascii="微软雅黑" w:hAnsi="微软雅黑" w:eastAsia="微软雅黑" w:cs="微软雅黑"/>
                <w:color w:val="000000" w:themeColor="text1"/>
                <w:kern w:val="0"/>
                <w:sz w:val="24"/>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相关物料</w:t>
            </w: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设计</w:t>
            </w: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制作</w:t>
            </w:r>
          </w:p>
        </w:tc>
        <w:tc>
          <w:tcPr>
            <w:tcW w:w="161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76B71C5D">
            <w:pPr>
              <w:widowControl/>
              <w:jc w:val="center"/>
              <w:rPr>
                <w:rFonts w:hint="eastAsia" w:ascii="宋体" w:hAnsi="宋体" w:eastAsia="宋体" w:cs="宋体"/>
                <w:i w:val="0"/>
                <w:iCs w:val="0"/>
                <w:color w:val="000000"/>
                <w:sz w:val="22"/>
                <w:szCs w:val="22"/>
                <w:u w:val="none"/>
                <w:lang w:val="en-US" w:eastAsia="zh-CN"/>
              </w:rPr>
            </w:pPr>
          </w:p>
        </w:tc>
        <w:tc>
          <w:tcPr>
            <w:tcW w:w="16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796FF29">
            <w:pPr>
              <w:widowControl/>
              <w:jc w:val="center"/>
              <w:rPr>
                <w:rFonts w:hint="eastAsia" w:ascii="宋体" w:hAnsi="宋体" w:eastAsia="宋体" w:cs="宋体"/>
                <w:i w:val="0"/>
                <w:iCs w:val="0"/>
                <w:color w:val="000000"/>
                <w:sz w:val="22"/>
                <w:szCs w:val="22"/>
                <w:u w:val="none"/>
                <w:lang w:val="en-US" w:eastAsia="zh-CN"/>
              </w:rPr>
            </w:pPr>
          </w:p>
        </w:tc>
        <w:tc>
          <w:tcPr>
            <w:tcW w:w="221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55527EF">
            <w:pPr>
              <w:widowControl/>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桁架、车贴覆kt板、致辞台包装、接待指南、节目单、接站手举牌、车贴、字幕机</w:t>
            </w:r>
            <w:r>
              <w:rPr>
                <w:rFonts w:hint="eastAsia" w:ascii="宋体" w:hAnsi="宋体" w:cs="宋体"/>
                <w:i w:val="0"/>
                <w:iCs w:val="0"/>
                <w:color w:val="000000"/>
                <w:sz w:val="22"/>
                <w:szCs w:val="22"/>
                <w:u w:val="none"/>
                <w:lang w:val="en-US" w:eastAsia="zh-CN"/>
              </w:rPr>
              <w:t>等</w:t>
            </w:r>
          </w:p>
        </w:tc>
      </w:tr>
      <w:tr w14:paraId="29086B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exac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32D8EB30">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70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8A4C392">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节目演出费用</w:t>
            </w:r>
          </w:p>
        </w:tc>
        <w:tc>
          <w:tcPr>
            <w:tcW w:w="161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239CED41">
            <w:pPr>
              <w:widowControl/>
              <w:jc w:val="center"/>
              <w:rPr>
                <w:rFonts w:hint="eastAsia" w:ascii="宋体" w:hAnsi="宋体" w:eastAsia="宋体" w:cs="宋体"/>
                <w:i w:val="0"/>
                <w:iCs w:val="0"/>
                <w:color w:val="000000"/>
                <w:sz w:val="22"/>
                <w:szCs w:val="22"/>
                <w:u w:val="none"/>
                <w:lang w:val="en-US" w:eastAsia="zh-CN"/>
              </w:rPr>
            </w:pPr>
          </w:p>
        </w:tc>
        <w:tc>
          <w:tcPr>
            <w:tcW w:w="16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94A2140">
            <w:pPr>
              <w:widowControl/>
              <w:jc w:val="center"/>
              <w:rPr>
                <w:rFonts w:hint="eastAsia" w:ascii="宋体" w:hAnsi="宋体" w:eastAsia="宋体" w:cs="宋体"/>
                <w:i w:val="0"/>
                <w:iCs w:val="0"/>
                <w:color w:val="000000"/>
                <w:sz w:val="22"/>
                <w:szCs w:val="22"/>
                <w:u w:val="none"/>
                <w:lang w:val="en-US" w:eastAsia="zh-CN"/>
              </w:rPr>
            </w:pPr>
          </w:p>
        </w:tc>
        <w:tc>
          <w:tcPr>
            <w:tcW w:w="221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97EB443">
            <w:pPr>
              <w:widowControl/>
              <w:jc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4个节目</w:t>
            </w:r>
          </w:p>
          <w:p w14:paraId="6DA88C89">
            <w:pPr>
              <w:widowControl/>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演员不低于40人</w:t>
            </w:r>
          </w:p>
        </w:tc>
      </w:tr>
      <w:tr w14:paraId="6F95AC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16" w:hRule="exac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32D202D1">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70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2DAD337">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相关画面、视频制作</w:t>
            </w:r>
          </w:p>
        </w:tc>
        <w:tc>
          <w:tcPr>
            <w:tcW w:w="161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19F2F8CF">
            <w:pPr>
              <w:widowControl/>
              <w:jc w:val="center"/>
              <w:rPr>
                <w:rFonts w:hint="eastAsia" w:ascii="宋体" w:hAnsi="宋体" w:eastAsia="宋体" w:cs="宋体"/>
                <w:i w:val="0"/>
                <w:iCs w:val="0"/>
                <w:color w:val="000000"/>
                <w:sz w:val="22"/>
                <w:szCs w:val="22"/>
                <w:u w:val="none"/>
                <w:lang w:val="en-US" w:eastAsia="zh-CN"/>
              </w:rPr>
            </w:pPr>
          </w:p>
        </w:tc>
        <w:tc>
          <w:tcPr>
            <w:tcW w:w="16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1ED855A">
            <w:pPr>
              <w:widowControl/>
              <w:jc w:val="center"/>
              <w:rPr>
                <w:rFonts w:hint="eastAsia" w:ascii="宋体" w:hAnsi="宋体" w:eastAsia="宋体" w:cs="宋体"/>
                <w:i w:val="0"/>
                <w:iCs w:val="0"/>
                <w:color w:val="000000"/>
                <w:sz w:val="22"/>
                <w:szCs w:val="22"/>
                <w:u w:val="none"/>
                <w:lang w:val="en-US" w:eastAsia="zh-CN"/>
              </w:rPr>
            </w:pPr>
          </w:p>
        </w:tc>
        <w:tc>
          <w:tcPr>
            <w:tcW w:w="221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B995C05">
            <w:pPr>
              <w:widowControl/>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定版、暖场、开场、颁奖、片头、片尾、片花、节目背景等画面、视频制作，需加特效。</w:t>
            </w:r>
          </w:p>
        </w:tc>
      </w:tr>
      <w:tr w14:paraId="7C2486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exac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515DAC55">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70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5EAA9B8">
            <w:pPr>
              <w:widowControl/>
              <w:jc w:val="center"/>
              <w:rPr>
                <w:rFonts w:hint="eastAsia" w:ascii="微软雅黑" w:hAnsi="微软雅黑" w:eastAsia="微软雅黑" w:cs="微软雅黑"/>
                <w:color w:val="000000" w:themeColor="text1"/>
                <w:kern w:val="0"/>
                <w:sz w:val="24"/>
                <w:shd w:val="clear" w:color="auto" w:fill="auto"/>
                <w:lang w:val="en-US"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val="en-US" w:eastAsia="zh-CN"/>
                <w14:textFill>
                  <w14:solidFill>
                    <w14:schemeClr w14:val="tx1"/>
                  </w14:solidFill>
                </w14:textFill>
              </w:rPr>
              <w:t>住宿</w:t>
            </w:r>
          </w:p>
        </w:tc>
        <w:tc>
          <w:tcPr>
            <w:tcW w:w="161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66F17414">
            <w:pPr>
              <w:widowControl/>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2天</w:t>
            </w:r>
          </w:p>
        </w:tc>
        <w:tc>
          <w:tcPr>
            <w:tcW w:w="16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4B890D0">
            <w:pPr>
              <w:widowControl/>
              <w:jc w:val="center"/>
              <w:rPr>
                <w:rFonts w:hint="eastAsia" w:ascii="宋体" w:hAnsi="宋体" w:eastAsia="宋体" w:cs="宋体"/>
                <w:i w:val="0"/>
                <w:iCs w:val="0"/>
                <w:color w:val="000000"/>
                <w:sz w:val="22"/>
                <w:szCs w:val="22"/>
                <w:u w:val="none"/>
                <w:lang w:val="en-US" w:eastAsia="zh-CN"/>
              </w:rPr>
            </w:pPr>
          </w:p>
        </w:tc>
        <w:tc>
          <w:tcPr>
            <w:tcW w:w="221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3F08BB8">
            <w:pPr>
              <w:widowControl/>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w:t>
            </w:r>
            <w:r>
              <w:rPr>
                <w:rFonts w:hint="eastAsia" w:ascii="宋体" w:hAnsi="宋体" w:cs="宋体"/>
                <w:i w:val="0"/>
                <w:iCs w:val="0"/>
                <w:color w:val="000000"/>
                <w:sz w:val="22"/>
                <w:szCs w:val="22"/>
                <w:u w:val="none"/>
                <w:lang w:val="en-US" w:eastAsia="zh-CN"/>
              </w:rPr>
              <w:t>间</w:t>
            </w:r>
            <w:r>
              <w:rPr>
                <w:rFonts w:hint="eastAsia" w:ascii="宋体" w:hAnsi="宋体" w:eastAsia="宋体" w:cs="宋体"/>
                <w:i w:val="0"/>
                <w:iCs w:val="0"/>
                <w:color w:val="000000"/>
                <w:sz w:val="22"/>
                <w:szCs w:val="22"/>
                <w:u w:val="none"/>
                <w:lang w:val="en-US" w:eastAsia="zh-CN"/>
              </w:rPr>
              <w:t>左右</w:t>
            </w:r>
          </w:p>
        </w:tc>
      </w:tr>
      <w:tr w14:paraId="480C1A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exac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7BF4AA92">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70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6E0240A">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用餐</w:t>
            </w:r>
          </w:p>
        </w:tc>
        <w:tc>
          <w:tcPr>
            <w:tcW w:w="161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556D922A">
            <w:pPr>
              <w:widowControl/>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3天</w:t>
            </w:r>
          </w:p>
        </w:tc>
        <w:tc>
          <w:tcPr>
            <w:tcW w:w="16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2307E3D">
            <w:pPr>
              <w:widowControl/>
              <w:jc w:val="center"/>
              <w:rPr>
                <w:rFonts w:hint="eastAsia" w:ascii="宋体" w:hAnsi="宋体" w:eastAsia="宋体" w:cs="宋体"/>
                <w:i w:val="0"/>
                <w:iCs w:val="0"/>
                <w:color w:val="000000"/>
                <w:sz w:val="22"/>
                <w:szCs w:val="22"/>
                <w:u w:val="none"/>
                <w:lang w:val="en-US" w:eastAsia="zh-CN"/>
              </w:rPr>
            </w:pPr>
          </w:p>
        </w:tc>
        <w:tc>
          <w:tcPr>
            <w:tcW w:w="221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4D1E31E">
            <w:pPr>
              <w:widowControl/>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接待用餐+</w:t>
            </w:r>
            <w:r>
              <w:rPr>
                <w:rFonts w:hint="eastAsia" w:ascii="宋体" w:hAnsi="宋体" w:cs="宋体"/>
                <w:i w:val="0"/>
                <w:iCs w:val="0"/>
                <w:color w:val="000000"/>
                <w:sz w:val="22"/>
                <w:szCs w:val="22"/>
                <w:u w:val="none"/>
                <w:lang w:val="en-US" w:eastAsia="zh-CN"/>
              </w:rPr>
              <w:t>300人次</w:t>
            </w:r>
            <w:r>
              <w:rPr>
                <w:rFonts w:hint="eastAsia" w:ascii="宋体" w:hAnsi="宋体" w:eastAsia="宋体" w:cs="宋体"/>
                <w:i w:val="0"/>
                <w:iCs w:val="0"/>
                <w:color w:val="000000"/>
                <w:sz w:val="22"/>
                <w:szCs w:val="22"/>
                <w:u w:val="none"/>
                <w:lang w:val="en-US" w:eastAsia="zh-CN"/>
              </w:rPr>
              <w:t>工作餐</w:t>
            </w:r>
          </w:p>
        </w:tc>
      </w:tr>
      <w:tr w14:paraId="47F417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90" w:hRule="exac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26737F13">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70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CD9FA34">
            <w:pPr>
              <w:widowControl/>
              <w:jc w:val="cente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车辆</w:t>
            </w:r>
          </w:p>
        </w:tc>
        <w:tc>
          <w:tcPr>
            <w:tcW w:w="161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0F62E349">
            <w:pPr>
              <w:widowControl/>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3天</w:t>
            </w:r>
          </w:p>
        </w:tc>
        <w:tc>
          <w:tcPr>
            <w:tcW w:w="16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C0946AB">
            <w:pPr>
              <w:widowControl/>
              <w:jc w:val="center"/>
              <w:rPr>
                <w:rFonts w:hint="eastAsia" w:ascii="宋体" w:hAnsi="宋体" w:eastAsia="宋体" w:cs="宋体"/>
                <w:i w:val="0"/>
                <w:iCs w:val="0"/>
                <w:color w:val="000000"/>
                <w:sz w:val="22"/>
                <w:szCs w:val="22"/>
                <w:u w:val="none"/>
                <w:lang w:val="en-US" w:eastAsia="zh-CN"/>
              </w:rPr>
            </w:pPr>
          </w:p>
        </w:tc>
        <w:tc>
          <w:tcPr>
            <w:tcW w:w="221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E09BC7F">
            <w:pPr>
              <w:widowControl/>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22号晚接站接机，</w:t>
            </w:r>
          </w:p>
          <w:p w14:paraId="6E94C225">
            <w:pPr>
              <w:widowControl/>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23、24大巴车；</w:t>
            </w:r>
          </w:p>
          <w:p w14:paraId="07048EB8">
            <w:pPr>
              <w:widowControl/>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24号送站送机</w:t>
            </w:r>
          </w:p>
        </w:tc>
      </w:tr>
      <w:tr w14:paraId="366552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exact"/>
          <w:jc w:val="center"/>
        </w:trPr>
        <w:tc>
          <w:tcPr>
            <w:tcW w:w="1863" w:type="dxa"/>
            <w:gridSpan w:val="2"/>
            <w:vMerge w:val="continue"/>
            <w:tcBorders>
              <w:left w:val="outset" w:color="auto" w:sz="8" w:space="0"/>
              <w:right w:val="outset" w:color="auto" w:sz="8" w:space="0"/>
            </w:tcBorders>
            <w:shd w:val="clear" w:color="auto" w:fill="FFFFFF"/>
            <w:tcMar>
              <w:top w:w="0" w:type="dxa"/>
              <w:left w:w="0" w:type="dxa"/>
              <w:bottom w:w="0" w:type="dxa"/>
              <w:right w:w="0" w:type="dxa"/>
            </w:tcMar>
            <w:vAlign w:val="center"/>
          </w:tcPr>
          <w:p w14:paraId="193A2AB4">
            <w:pPr>
              <w:rPr>
                <w:rFonts w:ascii="微软雅黑" w:hAnsi="微软雅黑" w:eastAsia="微软雅黑" w:cs="微软雅黑"/>
                <w:color w:val="000000" w:themeColor="text1"/>
                <w:szCs w:val="21"/>
                <w:shd w:val="clear" w:color="auto" w:fill="auto"/>
                <w14:textFill>
                  <w14:solidFill>
                    <w14:schemeClr w14:val="tx1"/>
                  </w14:solidFill>
                </w14:textFill>
              </w:rPr>
            </w:pPr>
          </w:p>
        </w:tc>
        <w:tc>
          <w:tcPr>
            <w:tcW w:w="270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17CB2EF">
            <w:pPr>
              <w:widowControl/>
              <w:jc w:val="center"/>
              <w:rPr>
                <w:rFonts w:hint="eastAsia" w:ascii="微软雅黑" w:hAnsi="微软雅黑" w:eastAsia="微软雅黑" w:cs="微软雅黑"/>
                <w:color w:val="000000" w:themeColor="text1"/>
                <w:kern w:val="0"/>
                <w:sz w:val="24"/>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其他费用</w:t>
            </w:r>
          </w:p>
        </w:tc>
        <w:tc>
          <w:tcPr>
            <w:tcW w:w="161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73B8A5F0">
            <w:pPr>
              <w:widowControl/>
              <w:jc w:val="center"/>
              <w:rPr>
                <w:rFonts w:hint="eastAsia" w:ascii="宋体" w:hAnsi="宋体" w:eastAsia="宋体" w:cs="宋体"/>
                <w:i w:val="0"/>
                <w:iCs w:val="0"/>
                <w:color w:val="000000"/>
                <w:sz w:val="22"/>
                <w:szCs w:val="22"/>
                <w:u w:val="none"/>
                <w:lang w:val="en-US" w:eastAsia="zh-CN"/>
              </w:rPr>
            </w:pPr>
          </w:p>
        </w:tc>
        <w:tc>
          <w:tcPr>
            <w:tcW w:w="16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F56A3B0">
            <w:pPr>
              <w:widowControl/>
              <w:jc w:val="center"/>
              <w:rPr>
                <w:rFonts w:hint="eastAsia" w:ascii="宋体" w:hAnsi="宋体" w:eastAsia="宋体" w:cs="宋体"/>
                <w:i w:val="0"/>
                <w:iCs w:val="0"/>
                <w:color w:val="000000"/>
                <w:sz w:val="22"/>
                <w:szCs w:val="22"/>
                <w:u w:val="none"/>
                <w:lang w:val="en-US" w:eastAsia="zh-CN"/>
              </w:rPr>
            </w:pPr>
          </w:p>
        </w:tc>
        <w:tc>
          <w:tcPr>
            <w:tcW w:w="2219"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2FAF0F2">
            <w:pPr>
              <w:widowControl/>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活动场地使用服务等支出</w:t>
            </w:r>
          </w:p>
        </w:tc>
      </w:tr>
      <w:tr w14:paraId="2B8235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B642BBD">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合计金额（含税）</w:t>
            </w:r>
          </w:p>
        </w:tc>
        <w:tc>
          <w:tcPr>
            <w:tcW w:w="8183" w:type="dxa"/>
            <w:gridSpan w:val="6"/>
            <w:tcBorders>
              <w:top w:val="single" w:color="auto" w:sz="8" w:space="0"/>
              <w:left w:val="single" w:color="auto" w:sz="8" w:space="0"/>
              <w:bottom w:val="single" w:color="auto" w:sz="8" w:space="0"/>
              <w:right w:val="single" w:color="auto" w:sz="8" w:space="0"/>
            </w:tcBorders>
            <w:shd w:val="clear" w:color="auto" w:fill="FFFFFF"/>
          </w:tcPr>
          <w:p w14:paraId="766B87B1">
            <w:pPr>
              <w:widowControl/>
              <w:ind w:firstLine="1920" w:firstLineChars="800"/>
              <w:rPr>
                <w:rFonts w:hint="default" w:eastAsia="微软雅黑"/>
                <w:color w:val="000000" w:themeColor="text1"/>
                <w:shd w:val="clear" w:color="auto" w:fill="auto"/>
                <w:lang w:val="en-US" w:eastAsia="zh-CN"/>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人民币</w:t>
            </w: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w:t>
            </w:r>
            <w:r>
              <w:rPr>
                <w:rFonts w:hint="eastAsia" w:ascii="微软雅黑" w:hAnsi="微软雅黑" w:eastAsia="微软雅黑" w:cs="微软雅黑"/>
                <w:color w:val="000000" w:themeColor="text1"/>
                <w:kern w:val="0"/>
                <w:sz w:val="24"/>
                <w:u w:val="single"/>
                <w:shd w:val="clear" w:color="auto" w:fill="auto"/>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0"/>
                <w:sz w:val="24"/>
                <w:u w:val="none"/>
                <w:shd w:val="clear" w:color="auto" w:fill="auto"/>
                <w:lang w:val="en-US" w:eastAsia="zh-CN"/>
                <w14:textFill>
                  <w14:solidFill>
                    <w14:schemeClr w14:val="tx1"/>
                  </w14:solidFill>
                </w14:textFill>
              </w:rPr>
              <w:t xml:space="preserve">元 </w:t>
            </w: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（大写</w:t>
            </w:r>
            <w:r>
              <w:rPr>
                <w:rFonts w:hint="eastAsia" w:ascii="微软雅黑" w:hAnsi="微软雅黑" w:eastAsia="微软雅黑" w:cs="微软雅黑"/>
                <w:color w:val="000000" w:themeColor="text1"/>
                <w:kern w:val="0"/>
                <w:sz w:val="24"/>
                <w:shd w:val="clear" w:color="auto" w:fill="auto"/>
                <w:lang w:eastAsia="zh-CN"/>
                <w14:textFill>
                  <w14:solidFill>
                    <w14:schemeClr w14:val="tx1"/>
                  </w14:solidFill>
                </w14:textFill>
              </w:rPr>
              <w:t>：</w:t>
            </w:r>
            <w:r>
              <w:rPr>
                <w:rFonts w:hint="eastAsia" w:ascii="微软雅黑" w:hAnsi="微软雅黑" w:eastAsia="微软雅黑" w:cs="微软雅黑"/>
                <w:color w:val="000000" w:themeColor="text1"/>
                <w:kern w:val="0"/>
                <w:sz w:val="24"/>
                <w:shd w:val="clear" w:color="auto" w:fill="auto"/>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w:t>
            </w:r>
          </w:p>
        </w:tc>
      </w:tr>
      <w:tr w14:paraId="605BCD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6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2F8007D">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服务时间</w:t>
            </w:r>
          </w:p>
        </w:tc>
        <w:tc>
          <w:tcPr>
            <w:tcW w:w="8183" w:type="dxa"/>
            <w:gridSpan w:val="6"/>
            <w:tcBorders>
              <w:top w:val="single" w:color="auto" w:sz="8" w:space="0"/>
              <w:left w:val="single" w:color="auto" w:sz="8" w:space="0"/>
              <w:bottom w:val="single" w:color="auto" w:sz="8" w:space="0"/>
              <w:right w:val="single" w:color="auto" w:sz="8" w:space="0"/>
            </w:tcBorders>
            <w:shd w:val="clear" w:color="auto" w:fill="FFFFFF"/>
          </w:tcPr>
          <w:p w14:paraId="3C0F8249">
            <w:pPr>
              <w:widowControl/>
              <w:jc w:val="center"/>
              <w:rPr>
                <w:rFonts w:hint="default" w:eastAsia="微软雅黑"/>
                <w:color w:val="000000" w:themeColor="text1"/>
                <w:shd w:val="clear" w:color="auto" w:fill="auto"/>
                <w:lang w:val="en-US" w:eastAsia="zh-CN"/>
                <w14:textFill>
                  <w14:solidFill>
                    <w14:schemeClr w14:val="tx1"/>
                  </w14:solidFill>
                </w14:textFill>
              </w:rPr>
            </w:pPr>
            <w:r>
              <w:rPr>
                <w:rFonts w:hint="eastAsia" w:ascii="微软雅黑" w:hAnsi="微软雅黑" w:eastAsia="微软雅黑" w:cs="微软雅黑"/>
                <w:color w:val="000000" w:themeColor="text1"/>
                <w:kern w:val="0"/>
                <w:sz w:val="24"/>
                <w:highlight w:val="yellow"/>
                <w:shd w:val="clear" w:color="auto" w:fill="auto"/>
                <w14:textFill>
                  <w14:solidFill>
                    <w14:schemeClr w14:val="tx1"/>
                  </w14:solidFill>
                </w14:textFill>
              </w:rPr>
              <w:t>2024年</w:t>
            </w:r>
            <w:r>
              <w:rPr>
                <w:rFonts w:hint="eastAsia" w:ascii="微软雅黑" w:hAnsi="微软雅黑" w:eastAsia="微软雅黑" w:cs="微软雅黑"/>
                <w:color w:val="000000" w:themeColor="text1"/>
                <w:kern w:val="0"/>
                <w:sz w:val="24"/>
                <w:highlight w:val="yellow"/>
                <w:shd w:val="clear" w:color="auto" w:fill="auto"/>
                <w:lang w:val="en-US" w:eastAsia="zh-CN"/>
                <w14:textFill>
                  <w14:solidFill>
                    <w14:schemeClr w14:val="tx1"/>
                  </w14:solidFill>
                </w14:textFill>
              </w:rPr>
              <w:t>11月</w:t>
            </w:r>
          </w:p>
        </w:tc>
      </w:tr>
      <w:tr w14:paraId="56068F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01" w:hRule="atLeast"/>
          <w:jc w:val="center"/>
        </w:trPr>
        <w:tc>
          <w:tcPr>
            <w:tcW w:w="186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1E57EFD">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付款方式</w:t>
            </w:r>
          </w:p>
        </w:tc>
        <w:tc>
          <w:tcPr>
            <w:tcW w:w="8183" w:type="dxa"/>
            <w:gridSpan w:val="6"/>
            <w:tcBorders>
              <w:top w:val="single" w:color="auto" w:sz="8" w:space="0"/>
              <w:left w:val="single" w:color="auto" w:sz="8" w:space="0"/>
              <w:bottom w:val="single" w:color="auto" w:sz="8" w:space="0"/>
              <w:right w:val="single" w:color="auto" w:sz="8" w:space="0"/>
            </w:tcBorders>
            <w:shd w:val="clear" w:color="auto" w:fill="FFFFFF"/>
            <w:vAlign w:val="center"/>
          </w:tcPr>
          <w:p w14:paraId="37A43190">
            <w:pPr>
              <w:widowControl/>
              <w:jc w:val="center"/>
              <w:rPr>
                <w:color w:val="000000" w:themeColor="text1"/>
                <w:shd w:val="clear" w:color="auto" w:fill="auto"/>
                <w14:textFill>
                  <w14:solidFill>
                    <w14:schemeClr w14:val="tx1"/>
                  </w14:solidFill>
                </w14:textFill>
              </w:rPr>
            </w:pPr>
            <w:r>
              <w:rPr>
                <w:rFonts w:hint="eastAsia" w:ascii="微软雅黑" w:hAnsi="微软雅黑" w:eastAsia="微软雅黑" w:cs="微软雅黑"/>
                <w:color w:val="000000" w:themeColor="text1"/>
                <w:kern w:val="0"/>
                <w:sz w:val="24"/>
                <w:shd w:val="clear" w:color="auto" w:fill="auto"/>
                <w14:textFill>
                  <w14:solidFill>
                    <w14:schemeClr w14:val="tx1"/>
                  </w14:solidFill>
                </w14:textFill>
              </w:rPr>
              <w:t>活动完成后一次性支付。</w:t>
            </w:r>
          </w:p>
        </w:tc>
      </w:tr>
      <w:tr w14:paraId="01DB53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0046" w:type="dxa"/>
            <w:gridSpan w:val="8"/>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63303DE">
            <w:pPr>
              <w:widowControl/>
              <w:numPr>
                <w:ilvl w:val="0"/>
                <w:numId w:val="1"/>
              </w:numPr>
              <w:spacing w:line="520" w:lineRule="exact"/>
              <w:jc w:val="left"/>
              <w:rPr>
                <w:rFonts w:hint="default" w:ascii="微软雅黑" w:hAnsi="微软雅黑" w:eastAsia="微软雅黑" w:cs="微软雅黑"/>
                <w:color w:val="555555"/>
                <w:kern w:val="0"/>
                <w:sz w:val="24"/>
                <w:lang w:val="en-US"/>
              </w:rPr>
            </w:pPr>
            <w:r>
              <w:rPr>
                <w:rFonts w:hint="eastAsia" w:ascii="微软雅黑" w:hAnsi="微软雅黑" w:eastAsia="微软雅黑" w:cs="微软雅黑"/>
                <w:color w:val="555555"/>
                <w:kern w:val="0"/>
                <w:sz w:val="24"/>
                <w:lang w:eastAsia="zh-CN"/>
              </w:rPr>
              <w:t>项目简介</w:t>
            </w:r>
          </w:p>
          <w:p w14:paraId="279E3562">
            <w:pPr>
              <w:widowControl/>
              <w:numPr>
                <w:ilvl w:val="0"/>
                <w:numId w:val="0"/>
              </w:numPr>
              <w:spacing w:line="520" w:lineRule="exact"/>
              <w:ind w:firstLine="480" w:firstLineChars="200"/>
              <w:jc w:val="left"/>
              <w:rPr>
                <w:rFonts w:hint="eastAsia" w:ascii="微软雅黑" w:hAnsi="微软雅黑" w:eastAsia="微软雅黑" w:cs="微软雅黑"/>
                <w:color w:val="555555"/>
                <w:kern w:val="0"/>
                <w:sz w:val="24"/>
                <w:lang w:eastAsia="zh-CN"/>
              </w:rPr>
            </w:pPr>
            <w:r>
              <w:rPr>
                <w:rFonts w:hint="eastAsia" w:ascii="微软雅黑" w:hAnsi="微软雅黑" w:eastAsia="微软雅黑" w:cs="微软雅黑"/>
                <w:color w:val="555555"/>
                <w:kern w:val="0"/>
                <w:sz w:val="24"/>
                <w:lang w:val="en-US" w:eastAsia="zh-CN"/>
              </w:rPr>
              <w:t>肥东历史悠久、人文厚重、文风自古兴盛，一脉相承至今。</w:t>
            </w:r>
            <w:r>
              <w:rPr>
                <w:rFonts w:hint="eastAsia" w:ascii="微软雅黑" w:hAnsi="微软雅黑" w:eastAsia="微软雅黑" w:cs="微软雅黑"/>
                <w:color w:val="555555"/>
                <w:kern w:val="0"/>
                <w:sz w:val="24"/>
              </w:rPr>
              <w:t>为</w:t>
            </w:r>
            <w:r>
              <w:rPr>
                <w:rFonts w:hint="eastAsia" w:ascii="微软雅黑" w:hAnsi="微软雅黑" w:eastAsia="微软雅黑" w:cs="微软雅黑"/>
                <w:color w:val="555555"/>
                <w:kern w:val="0"/>
                <w:sz w:val="24"/>
                <w:lang w:val="en-US" w:eastAsia="zh-CN"/>
              </w:rPr>
              <w:t>铸造安徽文学品牌，繁荣文学创作，充分发挥广大作家和文学工作者的积极性创造性，扶持新人新作，推动新时代文学事业高质量发展。拟于2024年11月23日举办第二届《小说选刊》“包公故里杯.优秀小说奖</w:t>
            </w:r>
            <w:r>
              <w:rPr>
                <w:rFonts w:hint="default" w:ascii="微软雅黑" w:hAnsi="微软雅黑" w:eastAsia="微软雅黑" w:cs="微软雅黑"/>
                <w:color w:val="555555"/>
                <w:kern w:val="0"/>
                <w:sz w:val="24"/>
                <w:lang w:val="en-US" w:eastAsia="zh-CN"/>
              </w:rPr>
              <w:t>”</w:t>
            </w:r>
            <w:r>
              <w:rPr>
                <w:rFonts w:hint="eastAsia" w:ascii="微软雅黑" w:hAnsi="微软雅黑" w:eastAsia="微软雅黑" w:cs="微软雅黑"/>
                <w:color w:val="555555"/>
                <w:kern w:val="0"/>
                <w:sz w:val="24"/>
                <w:lang w:val="en-US" w:eastAsia="zh-CN"/>
              </w:rPr>
              <w:t>颁奖盛典活动。</w:t>
            </w:r>
          </w:p>
          <w:p w14:paraId="67E538B3">
            <w:pPr>
              <w:widowControl/>
              <w:spacing w:line="520" w:lineRule="exact"/>
              <w:jc w:val="left"/>
            </w:pPr>
            <w:r>
              <w:rPr>
                <w:rFonts w:hint="eastAsia" w:ascii="微软雅黑" w:hAnsi="微软雅黑" w:eastAsia="微软雅黑" w:cs="微软雅黑"/>
                <w:color w:val="555555"/>
                <w:kern w:val="0"/>
                <w:sz w:val="24"/>
                <w:lang w:eastAsia="zh-CN"/>
              </w:rPr>
              <w:t>二、</w:t>
            </w:r>
            <w:r>
              <w:rPr>
                <w:rFonts w:hint="eastAsia" w:ascii="微软雅黑" w:hAnsi="微软雅黑" w:eastAsia="微软雅黑" w:cs="微软雅黑"/>
                <w:color w:val="555555"/>
                <w:kern w:val="0"/>
                <w:sz w:val="24"/>
              </w:rPr>
              <w:t>资质要求</w:t>
            </w:r>
          </w:p>
          <w:p w14:paraId="018EC1BC">
            <w:pPr>
              <w:widowControl/>
              <w:spacing w:line="520" w:lineRule="exact"/>
              <w:ind w:left="389"/>
              <w:jc w:val="left"/>
            </w:pPr>
            <w:r>
              <w:rPr>
                <w:rFonts w:hint="eastAsia" w:ascii="微软雅黑" w:hAnsi="微软雅黑" w:eastAsia="微软雅黑" w:cs="微软雅黑"/>
                <w:color w:val="555555"/>
                <w:kern w:val="0"/>
                <w:sz w:val="24"/>
              </w:rPr>
              <w:t>1.符合《中华人民共和国政府采购法》第二十二条规定；</w:t>
            </w:r>
          </w:p>
          <w:p w14:paraId="71C66F4F">
            <w:pPr>
              <w:widowControl/>
              <w:spacing w:line="520" w:lineRule="exact"/>
              <w:ind w:left="389"/>
              <w:jc w:val="left"/>
            </w:pPr>
            <w:r>
              <w:rPr>
                <w:rFonts w:hint="eastAsia" w:ascii="微软雅黑" w:hAnsi="微软雅黑" w:eastAsia="微软雅黑" w:cs="微软雅黑"/>
                <w:color w:val="555555"/>
                <w:kern w:val="0"/>
                <w:sz w:val="24"/>
              </w:rPr>
              <w:t>2.本项目不接受联合体；</w:t>
            </w:r>
          </w:p>
          <w:p w14:paraId="601E21B6">
            <w:pPr>
              <w:widowControl/>
              <w:spacing w:line="520" w:lineRule="exact"/>
              <w:ind w:left="389"/>
              <w:jc w:val="left"/>
            </w:pPr>
            <w:r>
              <w:rPr>
                <w:rFonts w:hint="eastAsia" w:ascii="微软雅黑" w:hAnsi="微软雅黑" w:eastAsia="微软雅黑" w:cs="微软雅黑"/>
                <w:color w:val="555555"/>
                <w:kern w:val="0"/>
                <w:sz w:val="24"/>
              </w:rPr>
              <w:t>3.供应商存在以下不良信用记录情形之一的，不得推荐为成交候选供应商，不得确定为成交供应商：</w:t>
            </w:r>
          </w:p>
          <w:p w14:paraId="2A04BC28">
            <w:pPr>
              <w:widowControl/>
              <w:spacing w:line="520" w:lineRule="exact"/>
              <w:ind w:left="389"/>
              <w:jc w:val="left"/>
            </w:pPr>
            <w:r>
              <w:rPr>
                <w:rFonts w:hint="eastAsia" w:ascii="微软雅黑" w:hAnsi="微软雅黑" w:eastAsia="微软雅黑" w:cs="微软雅黑"/>
                <w:color w:val="555555"/>
                <w:kern w:val="0"/>
                <w:sz w:val="24"/>
              </w:rPr>
              <w:t>（1）供应商被人民法院列入失信被执行人的；</w:t>
            </w:r>
          </w:p>
          <w:p w14:paraId="2170FF54">
            <w:pPr>
              <w:widowControl/>
              <w:spacing w:line="520" w:lineRule="exact"/>
              <w:ind w:left="389"/>
              <w:jc w:val="left"/>
            </w:pPr>
            <w:r>
              <w:rPr>
                <w:rFonts w:hint="eastAsia" w:ascii="微软雅黑" w:hAnsi="微软雅黑" w:eastAsia="微软雅黑" w:cs="微软雅黑"/>
                <w:color w:val="555555"/>
                <w:kern w:val="0"/>
                <w:sz w:val="24"/>
              </w:rPr>
              <w:t>（2）供应商被工商行政管理部门列入严重违法失信企业名单的；</w:t>
            </w:r>
          </w:p>
          <w:p w14:paraId="3459CC2C">
            <w:pPr>
              <w:widowControl/>
              <w:spacing w:line="520" w:lineRule="exact"/>
              <w:ind w:left="389"/>
              <w:jc w:val="left"/>
            </w:pPr>
            <w:r>
              <w:rPr>
                <w:rFonts w:hint="eastAsia" w:ascii="微软雅黑" w:hAnsi="微软雅黑" w:eastAsia="微软雅黑" w:cs="微软雅黑"/>
                <w:color w:val="555555"/>
                <w:kern w:val="0"/>
                <w:sz w:val="24"/>
              </w:rPr>
              <w:t>（3）供应商被税务部门列入重大税收违法案件当事人名单的；</w:t>
            </w:r>
          </w:p>
          <w:p w14:paraId="0D0E83F6">
            <w:pPr>
              <w:widowControl/>
              <w:spacing w:line="520" w:lineRule="exact"/>
              <w:ind w:left="389"/>
              <w:jc w:val="left"/>
            </w:pPr>
            <w:r>
              <w:rPr>
                <w:rFonts w:hint="eastAsia" w:ascii="微软雅黑" w:hAnsi="微软雅黑" w:eastAsia="微软雅黑" w:cs="微软雅黑"/>
                <w:color w:val="555555"/>
                <w:kern w:val="0"/>
                <w:sz w:val="24"/>
              </w:rPr>
              <w:t>（4）供应商被政府采购监管部门列入政府采购严重违法失信行为记录名单的。</w:t>
            </w:r>
          </w:p>
          <w:p w14:paraId="6431F2C1">
            <w:pPr>
              <w:widowControl/>
              <w:spacing w:line="520" w:lineRule="exact"/>
              <w:ind w:left="389"/>
              <w:jc w:val="left"/>
            </w:pPr>
            <w:r>
              <w:rPr>
                <w:rFonts w:hint="eastAsia" w:ascii="微软雅黑" w:hAnsi="微软雅黑" w:eastAsia="微软雅黑" w:cs="微软雅黑"/>
                <w:color w:val="555555"/>
                <w:kern w:val="0"/>
                <w:sz w:val="24"/>
              </w:rPr>
              <w:t>供应商的信用状况以信用中国（http://www.creditchina.gov.cn/）和中国执行信息公开网（http://shixin.court.gov.cn/）查询为准。</w:t>
            </w:r>
          </w:p>
          <w:p w14:paraId="69B4E431">
            <w:pPr>
              <w:widowControl/>
              <w:spacing w:line="520" w:lineRule="exact"/>
              <w:ind w:left="389"/>
              <w:jc w:val="left"/>
              <w:rPr>
                <w:rFonts w:hint="eastAsia" w:ascii="微软雅黑" w:hAnsi="微软雅黑" w:eastAsia="微软雅黑" w:cs="微软雅黑"/>
                <w:color w:val="555555"/>
                <w:kern w:val="0"/>
                <w:sz w:val="24"/>
              </w:rPr>
            </w:pPr>
            <w:r>
              <w:rPr>
                <w:rFonts w:hint="eastAsia" w:ascii="微软雅黑" w:hAnsi="微软雅黑" w:eastAsia="微软雅黑" w:cs="微软雅黑"/>
                <w:color w:val="555555"/>
                <w:kern w:val="0"/>
                <w:sz w:val="24"/>
              </w:rPr>
              <w:t>4、</w:t>
            </w:r>
            <w:r>
              <w:rPr>
                <w:rFonts w:hint="eastAsia" w:ascii="微软雅黑" w:hAnsi="微软雅黑" w:eastAsia="微软雅黑" w:cs="微软雅黑"/>
                <w:b/>
                <w:bCs/>
                <w:color w:val="555555"/>
                <w:kern w:val="0"/>
                <w:sz w:val="24"/>
              </w:rPr>
              <w:t>供应商应具备</w:t>
            </w:r>
            <w:r>
              <w:rPr>
                <w:rFonts w:hint="eastAsia" w:ascii="微软雅黑" w:hAnsi="微软雅黑" w:eastAsia="微软雅黑" w:cs="微软雅黑"/>
                <w:b/>
                <w:bCs/>
                <w:color w:val="555555"/>
                <w:kern w:val="0"/>
                <w:sz w:val="24"/>
                <w:lang w:eastAsia="zh-CN"/>
              </w:rPr>
              <w:t>大型公共公益类活动组织</w:t>
            </w:r>
            <w:r>
              <w:rPr>
                <w:rFonts w:hint="eastAsia" w:ascii="微软雅黑" w:hAnsi="微软雅黑" w:eastAsia="微软雅黑" w:cs="微软雅黑"/>
                <w:b/>
                <w:bCs/>
                <w:color w:val="555555"/>
                <w:kern w:val="0"/>
                <w:sz w:val="24"/>
              </w:rPr>
              <w:t>资质</w:t>
            </w:r>
            <w:r>
              <w:rPr>
                <w:rFonts w:hint="eastAsia" w:ascii="微软雅黑" w:hAnsi="微软雅黑" w:eastAsia="微软雅黑" w:cs="微软雅黑"/>
                <w:b/>
                <w:bCs/>
                <w:color w:val="555555"/>
                <w:kern w:val="0"/>
                <w:sz w:val="24"/>
                <w:lang w:eastAsia="zh-CN"/>
              </w:rPr>
              <w:t>及</w:t>
            </w:r>
            <w:r>
              <w:rPr>
                <w:rFonts w:hint="eastAsia" w:ascii="微软雅黑" w:hAnsi="微软雅黑" w:eastAsia="微软雅黑" w:cs="微软雅黑"/>
                <w:b/>
                <w:bCs/>
                <w:color w:val="555555"/>
                <w:kern w:val="0"/>
                <w:sz w:val="24"/>
              </w:rPr>
              <w:t>相关经验，并至少提供两份同类业绩合同证明</w:t>
            </w:r>
            <w:r>
              <w:rPr>
                <w:rFonts w:hint="eastAsia" w:ascii="微软雅黑" w:hAnsi="微软雅黑" w:eastAsia="微软雅黑" w:cs="微软雅黑"/>
                <w:color w:val="555555"/>
                <w:kern w:val="0"/>
                <w:sz w:val="24"/>
              </w:rPr>
              <w:t>。</w:t>
            </w:r>
          </w:p>
          <w:p w14:paraId="77F0073E">
            <w:pPr>
              <w:widowControl/>
              <w:spacing w:line="520" w:lineRule="exact"/>
              <w:ind w:left="389"/>
              <w:jc w:val="left"/>
              <w:rPr>
                <w:rFonts w:hint="eastAsia" w:ascii="微软雅黑" w:hAnsi="微软雅黑" w:eastAsia="微软雅黑" w:cs="微软雅黑"/>
                <w:color w:val="555555"/>
                <w:kern w:val="0"/>
                <w:sz w:val="24"/>
              </w:rPr>
            </w:pPr>
            <w:r>
              <w:rPr>
                <w:rFonts w:hint="eastAsia" w:ascii="微软雅黑" w:hAnsi="微软雅黑" w:eastAsia="微软雅黑" w:cs="微软雅黑"/>
                <w:color w:val="555555"/>
                <w:kern w:val="0"/>
                <w:sz w:val="24"/>
              </w:rPr>
              <w:t>三、服务要求</w:t>
            </w:r>
          </w:p>
          <w:p w14:paraId="1A4004DA">
            <w:pPr>
              <w:widowControl/>
              <w:spacing w:line="520" w:lineRule="exact"/>
              <w:ind w:left="389"/>
              <w:jc w:val="left"/>
              <w:rPr>
                <w:rFonts w:hint="eastAsia" w:ascii="微软雅黑" w:hAnsi="微软雅黑" w:eastAsia="微软雅黑" w:cs="微软雅黑"/>
                <w:color w:val="555555"/>
                <w:kern w:val="0"/>
                <w:sz w:val="24"/>
                <w:lang w:val="en-US" w:eastAsia="zh-CN"/>
              </w:rPr>
            </w:pPr>
            <w:r>
              <w:rPr>
                <w:rFonts w:hint="eastAsia" w:ascii="微软雅黑" w:hAnsi="微软雅黑" w:eastAsia="微软雅黑" w:cs="微软雅黑"/>
                <w:color w:val="555555"/>
                <w:kern w:val="0"/>
                <w:sz w:val="24"/>
                <w:lang w:val="en-US" w:eastAsia="zh-CN"/>
              </w:rPr>
              <w:t>1、成交供应商需策划执行项目演出活动方案。提供详细全面的策划组织执行方案。</w:t>
            </w:r>
          </w:p>
          <w:p w14:paraId="0B91009A">
            <w:pPr>
              <w:widowControl/>
              <w:spacing w:line="520" w:lineRule="exact"/>
              <w:ind w:left="389"/>
              <w:jc w:val="left"/>
              <w:rPr>
                <w:rFonts w:hint="eastAsia" w:ascii="微软雅黑" w:hAnsi="微软雅黑" w:eastAsia="微软雅黑" w:cs="微软雅黑"/>
                <w:color w:val="555555"/>
                <w:kern w:val="0"/>
                <w:sz w:val="24"/>
                <w:lang w:val="en-US" w:eastAsia="zh-CN"/>
              </w:rPr>
            </w:pPr>
            <w:r>
              <w:rPr>
                <w:rFonts w:hint="eastAsia" w:ascii="微软雅黑" w:hAnsi="微软雅黑" w:eastAsia="微软雅黑" w:cs="微软雅黑"/>
                <w:color w:val="555555"/>
                <w:kern w:val="0"/>
                <w:sz w:val="24"/>
                <w:lang w:val="en-US" w:eastAsia="zh-CN"/>
              </w:rPr>
              <w:t>2、成交供应商需结合肥东实际，以“包公文化”“巢湖文旅”“肥东地方特色文化”主题的原创包公判案情景剧、古风歌舞，戏曲类节目，朗诵节目，且数量不低于4个，演出节目总时长不低于30分钟。其中，必须打造的原创节目包含具有肥东地方特色文化的古风戏歌不少于一首（歌词、谱曲由采购方提供，供应方按照伴奏制作编排舞蹈），戏歌伴舞人数不低于16人，舞蹈演员年龄不超过20岁，且具有参加省市大型演出的经验；围绕包公判案故事打造的儿童戏曲情景剧1个，表演时长不低于12分钟；戏曲类节目：戏曲演员至少有两人是全日制戏曲专业本科学历，演员年龄最大不得超过30岁，演出剧目须为黄梅戏，表演时服道化齐备，表演人数不少于12人；朗诵类节目：采购方提供诗词剧本，结合肥东地方特色文化进行二次创造，供应商需制作音乐伴奏、视频等，安排男女朗诵，人数不少于4人，所有节目需经肥东县委宣传部审查后方可表演。</w:t>
            </w:r>
          </w:p>
          <w:p w14:paraId="6AA6B277">
            <w:pPr>
              <w:widowControl/>
              <w:ind w:firstLine="480" w:firstLineChars="200"/>
              <w:jc w:val="both"/>
              <w:rPr>
                <w:rFonts w:hint="default" w:ascii="微软雅黑" w:hAnsi="微软雅黑" w:eastAsia="微软雅黑" w:cs="微软雅黑"/>
                <w:color w:val="555555"/>
                <w:kern w:val="0"/>
                <w:sz w:val="24"/>
                <w:lang w:val="en-US" w:eastAsia="zh-CN"/>
              </w:rPr>
            </w:pPr>
            <w:r>
              <w:rPr>
                <w:rFonts w:hint="eastAsia" w:ascii="微软雅黑" w:hAnsi="微软雅黑" w:eastAsia="微软雅黑" w:cs="微软雅黑"/>
                <w:color w:val="555555"/>
                <w:kern w:val="0"/>
                <w:sz w:val="24"/>
                <w:lang w:val="en-US" w:eastAsia="zh-CN"/>
              </w:rPr>
              <w:t>3、成交供应商应根据主办方要求提供本活动接待住宿及用车安排，要求住宿在活动举办主场地4公里范围内且符合4星级以上标准；用餐参照公务接待标准，并提供活动举办期间工作人员及演员工作餐，用餐地点和标准，需经县委宣传部审定；保障活动期间22号晚接站接机，23、24县域内大巴车，24号送站送机用车需求。</w:t>
            </w:r>
          </w:p>
        </w:tc>
      </w:tr>
      <w:tr w14:paraId="272522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41" w:hRule="atLeast"/>
          <w:jc w:val="center"/>
        </w:trPr>
        <w:tc>
          <w:tcPr>
            <w:tcW w:w="1106" w:type="dxa"/>
            <w:tcBorders>
              <w:top w:val="single" w:color="auto" w:sz="8" w:space="0"/>
              <w:left w:val="single" w:color="auto" w:sz="8" w:space="0"/>
              <w:bottom w:val="single" w:color="auto" w:sz="8" w:space="0"/>
              <w:right w:val="single" w:color="auto" w:sz="8" w:space="0"/>
            </w:tcBorders>
            <w:shd w:val="clear" w:color="auto" w:fill="FFFFFF"/>
          </w:tcPr>
          <w:p w14:paraId="2C05D76D">
            <w:pPr>
              <w:widowControl/>
              <w:spacing w:line="520" w:lineRule="exact"/>
              <w:ind w:left="29"/>
              <w:jc w:val="left"/>
              <w:rPr>
                <w:rFonts w:ascii="微软雅黑" w:hAnsi="微软雅黑" w:eastAsia="微软雅黑" w:cs="微软雅黑"/>
                <w:color w:val="555555"/>
                <w:kern w:val="0"/>
                <w:sz w:val="24"/>
              </w:rPr>
            </w:pPr>
          </w:p>
        </w:tc>
        <w:tc>
          <w:tcPr>
            <w:tcW w:w="8940"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691EB681">
            <w:pPr>
              <w:widowControl/>
              <w:numPr>
                <w:ilvl w:val="0"/>
                <w:numId w:val="2"/>
              </w:numPr>
              <w:spacing w:line="520" w:lineRule="exact"/>
              <w:ind w:left="29"/>
              <w:jc w:val="left"/>
              <w:rPr>
                <w:rFonts w:ascii="微软雅黑" w:hAnsi="微软雅黑" w:eastAsia="微软雅黑" w:cs="微软雅黑"/>
                <w:color w:val="555555"/>
                <w:kern w:val="0"/>
                <w:sz w:val="24"/>
              </w:rPr>
            </w:pPr>
            <w:r>
              <w:rPr>
                <w:rFonts w:hint="eastAsia" w:ascii="微软雅黑" w:hAnsi="微软雅黑" w:eastAsia="微软雅黑" w:cs="微软雅黑"/>
                <w:color w:val="555555"/>
                <w:kern w:val="0"/>
                <w:sz w:val="24"/>
              </w:rPr>
              <w:t>报价须知</w:t>
            </w:r>
          </w:p>
          <w:p w14:paraId="09988D28">
            <w:pPr>
              <w:widowControl/>
              <w:snapToGrid w:val="0"/>
              <w:ind w:firstLine="480" w:firstLineChars="200"/>
              <w:rPr>
                <w:rFonts w:ascii="微软雅黑" w:hAnsi="微软雅黑" w:eastAsia="微软雅黑" w:cs="微软雅黑"/>
                <w:color w:val="555555"/>
                <w:kern w:val="0"/>
                <w:sz w:val="24"/>
              </w:rPr>
            </w:pPr>
            <w:r>
              <w:rPr>
                <w:rFonts w:hint="eastAsia" w:ascii="宋体" w:hAnsi="宋体" w:cs="宋体"/>
                <w:kern w:val="0"/>
                <w:sz w:val="24"/>
              </w:rPr>
              <w:t>(一)本项目报价上限不高于</w:t>
            </w:r>
            <w:r>
              <w:rPr>
                <w:rFonts w:hint="eastAsia" w:ascii="宋体" w:hAnsi="宋体" w:cs="宋体"/>
                <w:b/>
                <w:bCs/>
                <w:color w:val="0000FF"/>
                <w:kern w:val="0"/>
                <w:sz w:val="24"/>
                <w:lang w:val="en-US" w:eastAsia="zh-CN"/>
              </w:rPr>
              <w:t>10</w:t>
            </w:r>
            <w:r>
              <w:rPr>
                <w:rFonts w:hint="eastAsia" w:ascii="宋体" w:hAnsi="宋体" w:cs="宋体"/>
                <w:kern w:val="0"/>
                <w:sz w:val="24"/>
              </w:rPr>
              <w:t>万元；</w:t>
            </w:r>
          </w:p>
          <w:p w14:paraId="41FB10D7">
            <w:pPr>
              <w:widowControl/>
              <w:spacing w:line="520" w:lineRule="exact"/>
              <w:ind w:firstLine="480"/>
              <w:jc w:val="left"/>
            </w:pPr>
            <w:r>
              <w:rPr>
                <w:rFonts w:hint="eastAsia" w:ascii="微软雅黑" w:hAnsi="微软雅黑" w:eastAsia="微软雅黑" w:cs="微软雅黑"/>
                <w:color w:val="555555"/>
                <w:kern w:val="0"/>
                <w:sz w:val="24"/>
              </w:rPr>
              <w:t> (二)本次采购采用综合评标方式进行，采购单位发放报价单，供应商向肥东县委宣传部一次报出不得更改的价格，但须对该项目的全部内容进行报价，否则询价函报价无效。必须按要求注明售后服务承诺及交付作品时间,用钢笔或碳素笔填写，不得涂改挖补,否则报价无效；</w:t>
            </w:r>
          </w:p>
          <w:p w14:paraId="4F1C6327">
            <w:pPr>
              <w:widowControl/>
              <w:spacing w:line="520" w:lineRule="exact"/>
              <w:ind w:firstLine="480"/>
              <w:jc w:val="left"/>
            </w:pPr>
            <w:r>
              <w:rPr>
                <w:rFonts w:hint="eastAsia" w:ascii="微软雅黑" w:hAnsi="微软雅黑" w:eastAsia="微软雅黑" w:cs="微软雅黑"/>
                <w:color w:val="555555"/>
                <w:kern w:val="0"/>
                <w:sz w:val="24"/>
              </w:rPr>
              <w:t>（三）供应商应于规定时间前往</w:t>
            </w:r>
            <w:r>
              <w:rPr>
                <w:rFonts w:hint="eastAsia" w:ascii="微软雅黑" w:hAnsi="微软雅黑" w:eastAsia="微软雅黑" w:cs="微软雅黑"/>
                <w:color w:val="0000FF"/>
                <w:kern w:val="0"/>
                <w:sz w:val="24"/>
              </w:rPr>
              <w:t>肥东县委宣传部会议室（肥东县政府1号楼3楼）</w:t>
            </w:r>
            <w:r>
              <w:rPr>
                <w:rFonts w:hint="eastAsia" w:ascii="微软雅黑" w:hAnsi="微软雅黑" w:eastAsia="微软雅黑" w:cs="微软雅黑"/>
                <w:color w:val="555555"/>
                <w:kern w:val="0"/>
                <w:sz w:val="24"/>
              </w:rPr>
              <w:t>进行现场报价,过时无效；</w:t>
            </w:r>
          </w:p>
          <w:p w14:paraId="0A08FF55">
            <w:pPr>
              <w:widowControl/>
              <w:spacing w:line="520" w:lineRule="exact"/>
              <w:ind w:firstLine="480"/>
              <w:jc w:val="left"/>
            </w:pPr>
            <w:r>
              <w:rPr>
                <w:rFonts w:hint="eastAsia" w:ascii="微软雅黑" w:hAnsi="微软雅黑" w:eastAsia="微软雅黑" w:cs="微软雅黑"/>
                <w:color w:val="555555"/>
                <w:kern w:val="0"/>
                <w:sz w:val="24"/>
              </w:rPr>
              <w:t>（四）供应商须将询价函密封并加盖公章,参加现场询价会议；</w:t>
            </w:r>
          </w:p>
          <w:p w14:paraId="7439849D">
            <w:pPr>
              <w:widowControl/>
              <w:spacing w:line="520" w:lineRule="exact"/>
              <w:ind w:firstLine="480"/>
              <w:jc w:val="left"/>
            </w:pPr>
            <w:r>
              <w:rPr>
                <w:rFonts w:hint="eastAsia" w:ascii="微软雅黑" w:hAnsi="微软雅黑" w:eastAsia="微软雅黑" w:cs="微软雅黑"/>
                <w:color w:val="555555"/>
                <w:kern w:val="0"/>
                <w:sz w:val="24"/>
              </w:rPr>
              <w:t>（五）报价供应商需将询价函完整下载进行报价，不得更改配置，否则报价无效；</w:t>
            </w:r>
          </w:p>
          <w:p w14:paraId="4EE05094">
            <w:pPr>
              <w:widowControl/>
              <w:spacing w:line="520" w:lineRule="exact"/>
              <w:ind w:firstLine="480"/>
              <w:jc w:val="left"/>
            </w:pPr>
            <w:r>
              <w:rPr>
                <w:rFonts w:hint="eastAsia" w:ascii="微软雅黑" w:hAnsi="微软雅黑" w:eastAsia="微软雅黑" w:cs="微软雅黑"/>
                <w:color w:val="555555"/>
                <w:kern w:val="0"/>
                <w:sz w:val="24"/>
              </w:rPr>
              <w:t>（六）报价供应商参加询价会议时，除提供询价函以外，应提供营业执照、相关资质证明、相关证明材料，供采购方审定通过；</w:t>
            </w:r>
          </w:p>
          <w:p w14:paraId="44BAE15A">
            <w:pPr>
              <w:widowControl/>
              <w:snapToGrid w:val="0"/>
              <w:ind w:firstLine="480"/>
              <w:rPr>
                <w:rFonts w:hint="eastAsia" w:ascii="宋体" w:hAnsi="宋体" w:cs="宋体"/>
                <w:color w:val="0000FF"/>
                <w:kern w:val="0"/>
                <w:sz w:val="24"/>
              </w:rPr>
            </w:pPr>
            <w:r>
              <w:rPr>
                <w:rFonts w:hint="eastAsia" w:ascii="微软雅黑" w:hAnsi="微软雅黑" w:eastAsia="微软雅黑" w:cs="微软雅黑"/>
                <w:color w:val="555555"/>
                <w:kern w:val="0"/>
                <w:sz w:val="24"/>
              </w:rPr>
              <w:t>（七）</w:t>
            </w:r>
            <w:r>
              <w:rPr>
                <w:rFonts w:hint="eastAsia" w:ascii="微软雅黑" w:hAnsi="微软雅黑" w:eastAsia="微软雅黑" w:cs="微软雅黑"/>
                <w:color w:val="0000FF"/>
                <w:kern w:val="0"/>
                <w:sz w:val="24"/>
              </w:rPr>
              <w:t>评标标准：活动方案符合要求，可操作执行性强，在符合采购资质、需求、质量和服务相等的前提下，确</w:t>
            </w:r>
            <w:r>
              <w:rPr>
                <w:rFonts w:hint="eastAsia" w:ascii="微软雅黑" w:hAnsi="微软雅黑" w:eastAsia="微软雅黑" w:cs="微软雅黑"/>
                <w:b w:val="0"/>
                <w:bCs w:val="0"/>
                <w:color w:val="0000FF"/>
                <w:kern w:val="0"/>
                <w:sz w:val="24"/>
              </w:rPr>
              <w:t>定</w:t>
            </w:r>
            <w:r>
              <w:rPr>
                <w:rFonts w:hint="eastAsia" w:ascii="宋体" w:hAnsi="宋体" w:cs="宋体"/>
                <w:b/>
                <w:bCs/>
                <w:color w:val="0000FF"/>
                <w:kern w:val="0"/>
                <w:sz w:val="24"/>
              </w:rPr>
              <w:t>综合评分</w:t>
            </w:r>
            <w:r>
              <w:rPr>
                <w:rFonts w:hint="eastAsia" w:ascii="宋体" w:hAnsi="宋体" w:cs="宋体"/>
                <w:color w:val="0000FF"/>
                <w:kern w:val="0"/>
                <w:sz w:val="24"/>
              </w:rPr>
              <w:t>。</w:t>
            </w:r>
          </w:p>
          <w:tbl>
            <w:tblPr>
              <w:tblStyle w:val="6"/>
              <w:tblpPr w:leftFromText="180" w:rightFromText="180" w:vertAnchor="text" w:horzAnchor="page" w:tblpY="190"/>
              <w:tblOverlap w:val="never"/>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366"/>
              <w:gridCol w:w="5190"/>
              <w:gridCol w:w="2061"/>
            </w:tblGrid>
            <w:tr w14:paraId="0D9C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41" w:type="dxa"/>
                  <w:vAlign w:val="center"/>
                </w:tcPr>
                <w:p w14:paraId="03DEED45">
                  <w:pPr>
                    <w:jc w:val="center"/>
                    <w:rPr>
                      <w:rFonts w:ascii="宋体" w:hAnsi="宋体" w:eastAsia="宋体" w:cs="宋体"/>
                      <w:b/>
                      <w:bCs/>
                      <w:color w:val="0000FF"/>
                      <w:kern w:val="0"/>
                      <w:szCs w:val="21"/>
                    </w:rPr>
                  </w:pPr>
                  <w:r>
                    <w:rPr>
                      <w:rFonts w:hint="eastAsia" w:ascii="宋体" w:hAnsi="宋体" w:eastAsia="宋体" w:cs="宋体"/>
                      <w:b/>
                      <w:bCs/>
                      <w:color w:val="0000FF"/>
                      <w:kern w:val="0"/>
                      <w:szCs w:val="21"/>
                    </w:rPr>
                    <w:t>序  号</w:t>
                  </w:r>
                </w:p>
              </w:tc>
              <w:tc>
                <w:tcPr>
                  <w:tcW w:w="1366" w:type="dxa"/>
                  <w:tcBorders>
                    <w:left w:val="nil"/>
                  </w:tcBorders>
                  <w:vAlign w:val="center"/>
                </w:tcPr>
                <w:p w14:paraId="3A97C8E1">
                  <w:pPr>
                    <w:jc w:val="center"/>
                    <w:rPr>
                      <w:rFonts w:ascii="宋体" w:hAnsi="宋体" w:eastAsia="宋体" w:cs="宋体"/>
                      <w:b/>
                      <w:bCs/>
                      <w:color w:val="0000FF"/>
                      <w:kern w:val="0"/>
                      <w:szCs w:val="21"/>
                    </w:rPr>
                  </w:pPr>
                  <w:r>
                    <w:rPr>
                      <w:rFonts w:hint="eastAsia" w:ascii="宋体" w:hAnsi="宋体" w:eastAsia="宋体" w:cs="宋体"/>
                      <w:b/>
                      <w:bCs/>
                      <w:color w:val="0000FF"/>
                      <w:kern w:val="0"/>
                      <w:szCs w:val="21"/>
                    </w:rPr>
                    <w:t>评 分 项</w:t>
                  </w:r>
                </w:p>
              </w:tc>
              <w:tc>
                <w:tcPr>
                  <w:tcW w:w="5190" w:type="dxa"/>
                  <w:tcBorders>
                    <w:left w:val="nil"/>
                  </w:tcBorders>
                  <w:vAlign w:val="center"/>
                </w:tcPr>
                <w:p w14:paraId="326EA4E4">
                  <w:pPr>
                    <w:jc w:val="center"/>
                    <w:rPr>
                      <w:rFonts w:ascii="宋体" w:hAnsi="宋体" w:eastAsia="宋体" w:cs="宋体"/>
                      <w:b/>
                      <w:bCs/>
                      <w:color w:val="0000FF"/>
                      <w:kern w:val="0"/>
                      <w:szCs w:val="21"/>
                    </w:rPr>
                  </w:pPr>
                  <w:r>
                    <w:rPr>
                      <w:rFonts w:hint="eastAsia" w:ascii="宋体" w:hAnsi="宋体" w:eastAsia="宋体" w:cs="宋体"/>
                      <w:b/>
                      <w:bCs/>
                      <w:color w:val="0000FF"/>
                      <w:kern w:val="0"/>
                      <w:szCs w:val="21"/>
                    </w:rPr>
                    <w:t>评分标准</w:t>
                  </w:r>
                </w:p>
              </w:tc>
              <w:tc>
                <w:tcPr>
                  <w:tcW w:w="2061" w:type="dxa"/>
                  <w:tcBorders>
                    <w:left w:val="nil"/>
                  </w:tcBorders>
                  <w:vAlign w:val="center"/>
                </w:tcPr>
                <w:p w14:paraId="4CD08362">
                  <w:pPr>
                    <w:rPr>
                      <w:rFonts w:ascii="宋体" w:hAnsi="宋体" w:eastAsia="宋体" w:cs="宋体"/>
                      <w:b/>
                      <w:bCs/>
                      <w:color w:val="0000FF"/>
                      <w:kern w:val="0"/>
                      <w:szCs w:val="21"/>
                    </w:rPr>
                  </w:pPr>
                  <w:r>
                    <w:rPr>
                      <w:rFonts w:hint="eastAsia" w:ascii="宋体" w:hAnsi="宋体" w:eastAsia="宋体" w:cs="宋体"/>
                      <w:b/>
                      <w:bCs/>
                      <w:color w:val="0000FF"/>
                      <w:kern w:val="0"/>
                      <w:szCs w:val="21"/>
                    </w:rPr>
                    <w:t>分  值</w:t>
                  </w:r>
                </w:p>
              </w:tc>
            </w:tr>
            <w:tr w14:paraId="45EC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241" w:type="dxa"/>
                  <w:tcBorders>
                    <w:top w:val="single" w:color="auto" w:sz="4" w:space="0"/>
                    <w:right w:val="single" w:color="auto" w:sz="4" w:space="0"/>
                  </w:tcBorders>
                  <w:vAlign w:val="center"/>
                </w:tcPr>
                <w:p w14:paraId="59302B55">
                  <w:pPr>
                    <w:jc w:val="center"/>
                    <w:rPr>
                      <w:rFonts w:ascii="宋体" w:hAnsi="宋体" w:eastAsia="宋体" w:cs="宋体"/>
                      <w:color w:val="0000FF"/>
                      <w:kern w:val="0"/>
                      <w:szCs w:val="21"/>
                    </w:rPr>
                  </w:pPr>
                  <w:r>
                    <w:rPr>
                      <w:rFonts w:hint="eastAsia" w:ascii="宋体" w:hAnsi="宋体" w:eastAsia="宋体" w:cs="宋体"/>
                      <w:color w:val="0000FF"/>
                      <w:kern w:val="0"/>
                      <w:szCs w:val="21"/>
                    </w:rPr>
                    <w:t>1</w:t>
                  </w:r>
                </w:p>
              </w:tc>
              <w:tc>
                <w:tcPr>
                  <w:tcW w:w="1366" w:type="dxa"/>
                  <w:tcBorders>
                    <w:top w:val="single" w:color="auto" w:sz="4" w:space="0"/>
                    <w:left w:val="single" w:color="auto" w:sz="4" w:space="0"/>
                    <w:right w:val="single" w:color="auto" w:sz="4" w:space="0"/>
                  </w:tcBorders>
                  <w:vAlign w:val="center"/>
                </w:tcPr>
                <w:p w14:paraId="35641EA0">
                  <w:pPr>
                    <w:widowControl/>
                    <w:jc w:val="center"/>
                    <w:rPr>
                      <w:rFonts w:hint="eastAsia" w:ascii="宋体" w:hAnsi="宋体" w:eastAsia="宋体" w:cs="宋体"/>
                      <w:color w:val="0000FF"/>
                      <w:kern w:val="0"/>
                      <w:szCs w:val="21"/>
                      <w:lang w:eastAsia="zh-CN"/>
                    </w:rPr>
                  </w:pPr>
                  <w:r>
                    <w:rPr>
                      <w:rFonts w:hint="eastAsia" w:ascii="宋体" w:hAnsi="宋体" w:cs="宋体"/>
                      <w:color w:val="0000FF"/>
                      <w:kern w:val="0"/>
                      <w:szCs w:val="21"/>
                      <w:lang w:eastAsia="zh-CN"/>
                    </w:rPr>
                    <w:t>奖</w:t>
                  </w:r>
                  <w:r>
                    <w:rPr>
                      <w:rFonts w:hint="eastAsia" w:ascii="宋体" w:hAnsi="宋体" w:cs="宋体"/>
                      <w:color w:val="0000FF"/>
                      <w:kern w:val="0"/>
                      <w:szCs w:val="21"/>
                      <w:lang w:val="en-US" w:eastAsia="zh-CN"/>
                    </w:rPr>
                    <w:t xml:space="preserve">  </w:t>
                  </w:r>
                  <w:r>
                    <w:rPr>
                      <w:rFonts w:hint="eastAsia" w:ascii="宋体" w:hAnsi="宋体" w:cs="宋体"/>
                      <w:color w:val="0000FF"/>
                      <w:kern w:val="0"/>
                      <w:szCs w:val="21"/>
                      <w:lang w:eastAsia="zh-CN"/>
                    </w:rPr>
                    <w:t>项</w:t>
                  </w:r>
                </w:p>
              </w:tc>
              <w:tc>
                <w:tcPr>
                  <w:tcW w:w="5190" w:type="dxa"/>
                  <w:tcBorders>
                    <w:top w:val="single" w:color="auto" w:sz="4" w:space="0"/>
                    <w:left w:val="single" w:color="auto" w:sz="4" w:space="0"/>
                    <w:bottom w:val="single" w:color="auto" w:sz="4" w:space="0"/>
                    <w:right w:val="single" w:color="auto" w:sz="4" w:space="0"/>
                  </w:tcBorders>
                </w:tcPr>
                <w:p w14:paraId="4A656FBE">
                  <w:pPr>
                    <w:pStyle w:val="11"/>
                    <w:ind w:right="19"/>
                    <w:rPr>
                      <w:rFonts w:hint="eastAsia" w:eastAsia="宋体"/>
                      <w:color w:val="0000FF"/>
                      <w:szCs w:val="21"/>
                    </w:rPr>
                  </w:pPr>
                  <w:r>
                    <w:rPr>
                      <w:rFonts w:hint="eastAsia" w:eastAsia="宋体"/>
                      <w:color w:val="0000FF"/>
                      <w:szCs w:val="21"/>
                    </w:rPr>
                    <w:t>自201</w:t>
                  </w:r>
                  <w:r>
                    <w:rPr>
                      <w:rFonts w:hint="eastAsia"/>
                      <w:color w:val="0000FF"/>
                      <w:szCs w:val="21"/>
                      <w:lang w:val="en-US" w:eastAsia="zh-CN"/>
                    </w:rPr>
                    <w:t>9</w:t>
                  </w:r>
                  <w:r>
                    <w:rPr>
                      <w:rFonts w:hint="eastAsia" w:eastAsia="宋体"/>
                      <w:color w:val="0000FF"/>
                      <w:szCs w:val="21"/>
                    </w:rPr>
                    <w:t>年1月1日以来（以获奖时间为准）：</w:t>
                  </w:r>
                </w:p>
                <w:p w14:paraId="3E53062B">
                  <w:pPr>
                    <w:pStyle w:val="11"/>
                    <w:ind w:right="19"/>
                    <w:rPr>
                      <w:rFonts w:hint="default" w:eastAsia="宋体"/>
                      <w:color w:val="0000FF"/>
                      <w:szCs w:val="21"/>
                      <w:lang w:val="en-US" w:eastAsia="zh-CN"/>
                    </w:rPr>
                  </w:pPr>
                  <w:r>
                    <w:rPr>
                      <w:rFonts w:hint="eastAsia" w:eastAsia="宋体"/>
                      <w:color w:val="0000FF"/>
                      <w:szCs w:val="21"/>
                    </w:rPr>
                    <w:t>供应商每获得一个省级及以上文化宣传主管部门颁发的创意营销类奖项或表彰，得8分</w:t>
                  </w:r>
                  <w:r>
                    <w:rPr>
                      <w:rFonts w:hint="eastAsia"/>
                      <w:color w:val="0000FF"/>
                      <w:szCs w:val="21"/>
                      <w:lang w:eastAsia="zh-CN"/>
                    </w:rPr>
                    <w:t>，最多不超过两个</w:t>
                  </w:r>
                  <w:r>
                    <w:rPr>
                      <w:rFonts w:hint="eastAsia"/>
                      <w:color w:val="0000FF"/>
                      <w:szCs w:val="21"/>
                      <w:lang w:val="en-US" w:eastAsia="zh-CN"/>
                    </w:rPr>
                    <w:t>；</w:t>
                  </w:r>
                </w:p>
                <w:p w14:paraId="08073F36">
                  <w:pPr>
                    <w:pStyle w:val="11"/>
                    <w:ind w:right="19"/>
                    <w:rPr>
                      <w:rFonts w:hint="default" w:eastAsia="宋体"/>
                      <w:color w:val="0000FF"/>
                      <w:szCs w:val="21"/>
                      <w:lang w:val="en-US" w:eastAsia="zh-CN"/>
                    </w:rPr>
                  </w:pPr>
                  <w:r>
                    <w:rPr>
                      <w:rFonts w:hint="eastAsia" w:eastAsia="宋体"/>
                      <w:color w:val="0000FF"/>
                      <w:szCs w:val="21"/>
                    </w:rPr>
                    <w:t>供应商每获得一个市级文化宣传主管部门颁发的创意营销类奖项或表彰得5分</w:t>
                  </w:r>
                  <w:r>
                    <w:rPr>
                      <w:rFonts w:hint="eastAsia"/>
                      <w:color w:val="0000FF"/>
                      <w:szCs w:val="21"/>
                      <w:lang w:eastAsia="zh-CN"/>
                    </w:rPr>
                    <w:t>，最多不超过两个</w:t>
                  </w:r>
                  <w:r>
                    <w:rPr>
                      <w:rFonts w:hint="eastAsia"/>
                      <w:color w:val="0000FF"/>
                      <w:szCs w:val="21"/>
                      <w:lang w:val="en-US" w:eastAsia="zh-CN"/>
                    </w:rPr>
                    <w:t>；</w:t>
                  </w:r>
                </w:p>
                <w:p w14:paraId="30726E97">
                  <w:pPr>
                    <w:pStyle w:val="11"/>
                    <w:ind w:right="19"/>
                    <w:rPr>
                      <w:rFonts w:hint="eastAsia" w:eastAsia="宋体"/>
                      <w:color w:val="0000FF"/>
                      <w:szCs w:val="21"/>
                      <w:lang w:eastAsia="zh-CN"/>
                    </w:rPr>
                  </w:pPr>
                  <w:r>
                    <w:rPr>
                      <w:rFonts w:hint="eastAsia" w:eastAsia="宋体"/>
                      <w:color w:val="0000FF"/>
                      <w:szCs w:val="21"/>
                    </w:rPr>
                    <w:t>供应商每获得一个县级文化宣传主管部门颁发的创意营销类奖项或表彰得2分</w:t>
                  </w:r>
                  <w:r>
                    <w:rPr>
                      <w:rFonts w:hint="eastAsia"/>
                      <w:color w:val="0000FF"/>
                      <w:szCs w:val="21"/>
                      <w:lang w:eastAsia="zh-CN"/>
                    </w:rPr>
                    <w:t>，最多不超过两个</w:t>
                  </w:r>
                  <w:r>
                    <w:rPr>
                      <w:rFonts w:hint="eastAsia"/>
                      <w:color w:val="0000FF"/>
                      <w:szCs w:val="21"/>
                      <w:lang w:val="en-US" w:eastAsia="zh-CN"/>
                    </w:rPr>
                    <w:t>；</w:t>
                  </w:r>
                </w:p>
                <w:p w14:paraId="6925365F">
                  <w:pPr>
                    <w:pStyle w:val="11"/>
                    <w:ind w:right="19"/>
                    <w:rPr>
                      <w:rFonts w:hint="eastAsia" w:eastAsia="宋体"/>
                      <w:color w:val="0000FF"/>
                      <w:szCs w:val="21"/>
                    </w:rPr>
                  </w:pPr>
                  <w:r>
                    <w:rPr>
                      <w:rFonts w:hint="eastAsia" w:eastAsia="宋体"/>
                      <w:color w:val="0000FF"/>
                      <w:szCs w:val="21"/>
                    </w:rPr>
                    <w:t>本项满分1</w:t>
                  </w:r>
                  <w:r>
                    <w:rPr>
                      <w:rFonts w:hint="eastAsia"/>
                      <w:color w:val="0000FF"/>
                      <w:szCs w:val="21"/>
                      <w:lang w:val="en-US" w:eastAsia="zh-CN"/>
                    </w:rPr>
                    <w:t>6</w:t>
                  </w:r>
                  <w:r>
                    <w:rPr>
                      <w:rFonts w:hint="eastAsia" w:eastAsia="宋体"/>
                      <w:color w:val="0000FF"/>
                      <w:szCs w:val="21"/>
                    </w:rPr>
                    <w:t>分。</w:t>
                  </w:r>
                </w:p>
                <w:p w14:paraId="23EE6C6E">
                  <w:pPr>
                    <w:pStyle w:val="11"/>
                    <w:ind w:right="19"/>
                    <w:rPr>
                      <w:rFonts w:hint="eastAsia" w:eastAsia="宋体"/>
                      <w:color w:val="0000FF"/>
                      <w:szCs w:val="21"/>
                    </w:rPr>
                  </w:pPr>
                  <w:r>
                    <w:rPr>
                      <w:rFonts w:hint="eastAsia" w:eastAsia="宋体"/>
                      <w:color w:val="0000FF"/>
                      <w:szCs w:val="21"/>
                    </w:rPr>
                    <w:t>注：（1）时间以获奖时间为准，供应商因同一项目多次获奖的仅计分一次并以最高表彰计；</w:t>
                  </w:r>
                </w:p>
                <w:p w14:paraId="59B08F31">
                  <w:pPr>
                    <w:pStyle w:val="11"/>
                    <w:ind w:right="19"/>
                    <w:rPr>
                      <w:rFonts w:eastAsia="宋体"/>
                      <w:color w:val="0000FF"/>
                      <w:szCs w:val="21"/>
                      <w:lang w:val="en-US"/>
                    </w:rPr>
                  </w:pPr>
                  <w:r>
                    <w:rPr>
                      <w:rFonts w:hint="eastAsia" w:eastAsia="宋体"/>
                      <w:color w:val="0000FF"/>
                      <w:szCs w:val="21"/>
                    </w:rPr>
                    <w:t xml:space="preserve">（2）提供获奖证书、批复、颁奖单位颁奖文件、网上公示截图（具有其中之一即可）等证明材料。以上材料须能体现供应商名称、获奖时间，如无法体现，须另附颁奖单位的相关证明材料。 </w:t>
                  </w:r>
                </w:p>
              </w:tc>
              <w:tc>
                <w:tcPr>
                  <w:tcW w:w="2061" w:type="dxa"/>
                  <w:tcBorders>
                    <w:top w:val="single" w:color="auto" w:sz="4" w:space="0"/>
                    <w:left w:val="single" w:color="auto" w:sz="4" w:space="0"/>
                  </w:tcBorders>
                  <w:vAlign w:val="center"/>
                </w:tcPr>
                <w:p w14:paraId="2321962B">
                  <w:pPr>
                    <w:pStyle w:val="2"/>
                    <w:jc w:val="both"/>
                    <w:rPr>
                      <w:rFonts w:hint="default" w:eastAsia="宋体" w:cs="宋体"/>
                      <w:color w:val="0000FF"/>
                      <w:szCs w:val="21"/>
                      <w:lang w:val="en-US" w:eastAsia="zh-CN"/>
                    </w:rPr>
                  </w:pPr>
                  <w:r>
                    <w:rPr>
                      <w:rFonts w:hint="eastAsia" w:ascii="宋体" w:hAnsi="宋体" w:eastAsia="宋体" w:cs="宋体"/>
                      <w:b w:val="0"/>
                      <w:bCs/>
                      <w:color w:val="0000FF"/>
                      <w:kern w:val="2"/>
                      <w:sz w:val="21"/>
                      <w:szCs w:val="21"/>
                      <w:lang w:val="en-US" w:eastAsia="zh-CN" w:bidi="ar-SA"/>
                    </w:rPr>
                    <w:t>1</w:t>
                  </w:r>
                  <w:r>
                    <w:rPr>
                      <w:rFonts w:hint="eastAsia" w:cs="宋体"/>
                      <w:b w:val="0"/>
                      <w:bCs/>
                      <w:color w:val="0000FF"/>
                      <w:kern w:val="2"/>
                      <w:sz w:val="21"/>
                      <w:szCs w:val="21"/>
                      <w:lang w:val="en-US" w:eastAsia="zh-CN" w:bidi="ar-SA"/>
                    </w:rPr>
                    <w:t>6</w:t>
                  </w:r>
                  <w:r>
                    <w:rPr>
                      <w:rFonts w:hint="eastAsia" w:ascii="宋体" w:hAnsi="宋体" w:eastAsia="宋体" w:cs="宋体"/>
                      <w:b w:val="0"/>
                      <w:bCs/>
                      <w:color w:val="0000FF"/>
                      <w:kern w:val="2"/>
                      <w:sz w:val="21"/>
                      <w:szCs w:val="21"/>
                      <w:lang w:val="en-US" w:eastAsia="zh-CN" w:bidi="ar-SA"/>
                    </w:rPr>
                    <w:t>分</w:t>
                  </w:r>
                </w:p>
              </w:tc>
            </w:tr>
            <w:tr w14:paraId="0B89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241" w:type="dxa"/>
                  <w:tcBorders>
                    <w:top w:val="single" w:color="auto" w:sz="4" w:space="0"/>
                    <w:right w:val="single" w:color="auto" w:sz="4" w:space="0"/>
                  </w:tcBorders>
                  <w:vAlign w:val="center"/>
                </w:tcPr>
                <w:p w14:paraId="7C2894E9">
                  <w:pPr>
                    <w:jc w:val="center"/>
                    <w:rPr>
                      <w:rFonts w:hint="eastAsia" w:ascii="宋体" w:hAnsi="宋体" w:eastAsia="宋体" w:cs="宋体"/>
                      <w:color w:val="0000FF"/>
                      <w:kern w:val="0"/>
                      <w:szCs w:val="21"/>
                      <w:lang w:val="en-US" w:eastAsia="zh-CN"/>
                    </w:rPr>
                  </w:pPr>
                  <w:r>
                    <w:rPr>
                      <w:rFonts w:hint="eastAsia" w:ascii="宋体" w:hAnsi="宋体" w:cs="宋体"/>
                      <w:color w:val="0000FF"/>
                      <w:kern w:val="0"/>
                      <w:szCs w:val="21"/>
                      <w:lang w:val="en-US" w:eastAsia="zh-CN"/>
                    </w:rPr>
                    <w:t>2</w:t>
                  </w:r>
                </w:p>
              </w:tc>
              <w:tc>
                <w:tcPr>
                  <w:tcW w:w="1366" w:type="dxa"/>
                  <w:tcBorders>
                    <w:top w:val="single" w:color="auto" w:sz="4" w:space="0"/>
                    <w:left w:val="single" w:color="auto" w:sz="4" w:space="0"/>
                    <w:right w:val="single" w:color="auto" w:sz="4" w:space="0"/>
                  </w:tcBorders>
                  <w:vAlign w:val="center"/>
                </w:tcPr>
                <w:p w14:paraId="68129AC7">
                  <w:pPr>
                    <w:widowControl/>
                    <w:jc w:val="center"/>
                    <w:rPr>
                      <w:rFonts w:hint="eastAsia" w:ascii="宋体" w:hAnsi="宋体" w:cs="宋体"/>
                      <w:color w:val="0000FF"/>
                      <w:kern w:val="0"/>
                      <w:szCs w:val="21"/>
                      <w:lang w:eastAsia="zh-CN"/>
                    </w:rPr>
                  </w:pPr>
                  <w:r>
                    <w:rPr>
                      <w:rFonts w:hint="eastAsia" w:ascii="宋体" w:hAnsi="宋体" w:cs="宋体"/>
                      <w:color w:val="0000FF"/>
                      <w:kern w:val="0"/>
                      <w:szCs w:val="21"/>
                      <w:lang w:val="en-US" w:eastAsia="zh-CN"/>
                    </w:rPr>
                    <w:t>业  绩</w:t>
                  </w:r>
                </w:p>
              </w:tc>
              <w:tc>
                <w:tcPr>
                  <w:tcW w:w="5190" w:type="dxa"/>
                  <w:tcBorders>
                    <w:top w:val="single" w:color="auto" w:sz="4" w:space="0"/>
                    <w:left w:val="single" w:color="auto" w:sz="4" w:space="0"/>
                    <w:bottom w:val="single" w:color="auto" w:sz="4" w:space="0"/>
                    <w:right w:val="single" w:color="auto" w:sz="4" w:space="0"/>
                  </w:tcBorders>
                </w:tcPr>
                <w:p w14:paraId="53AA28BA">
                  <w:pPr>
                    <w:pStyle w:val="11"/>
                    <w:ind w:right="19"/>
                    <w:rPr>
                      <w:rFonts w:hint="eastAsia" w:eastAsia="宋体"/>
                      <w:color w:val="0000FF"/>
                      <w:szCs w:val="21"/>
                    </w:rPr>
                  </w:pPr>
                  <w:r>
                    <w:rPr>
                      <w:rFonts w:hint="eastAsia" w:eastAsia="宋体"/>
                      <w:color w:val="0000FF"/>
                      <w:szCs w:val="21"/>
                    </w:rPr>
                    <w:t>自2019年1月1日以来，供应商具有承办过由政府部门作为指导单位</w:t>
                  </w:r>
                  <w:r>
                    <w:rPr>
                      <w:rFonts w:hint="eastAsia" w:eastAsia="宋体"/>
                      <w:color w:val="0000FF"/>
                      <w:szCs w:val="21"/>
                      <w:lang w:eastAsia="zh-CN"/>
                    </w:rPr>
                    <w:t>、</w:t>
                  </w:r>
                  <w:r>
                    <w:rPr>
                      <w:rFonts w:hint="eastAsia" w:eastAsia="宋体"/>
                      <w:color w:val="0000FF"/>
                      <w:szCs w:val="21"/>
                    </w:rPr>
                    <w:t>县级及以上党政机关或事业单位举办的文化文艺类活动的业绩，每提供一个业绩得</w:t>
                  </w:r>
                  <w:r>
                    <w:rPr>
                      <w:rFonts w:hint="eastAsia"/>
                      <w:color w:val="0000FF"/>
                      <w:szCs w:val="21"/>
                      <w:lang w:val="en-US" w:eastAsia="zh-CN"/>
                    </w:rPr>
                    <w:t>5</w:t>
                  </w:r>
                  <w:r>
                    <w:rPr>
                      <w:rFonts w:hint="eastAsia" w:eastAsia="宋体"/>
                      <w:color w:val="0000FF"/>
                      <w:szCs w:val="21"/>
                    </w:rPr>
                    <w:t>分，满分</w:t>
                  </w:r>
                  <w:r>
                    <w:rPr>
                      <w:rFonts w:hint="eastAsia"/>
                      <w:color w:val="0000FF"/>
                      <w:szCs w:val="21"/>
                      <w:lang w:val="en-US" w:eastAsia="zh-CN"/>
                    </w:rPr>
                    <w:t>10</w:t>
                  </w:r>
                  <w:r>
                    <w:rPr>
                      <w:rFonts w:hint="eastAsia" w:eastAsia="宋体"/>
                      <w:color w:val="0000FF"/>
                      <w:szCs w:val="21"/>
                    </w:rPr>
                    <w:t>分；</w:t>
                  </w:r>
                </w:p>
                <w:p w14:paraId="201C9522">
                  <w:pPr>
                    <w:pStyle w:val="11"/>
                    <w:ind w:right="19"/>
                    <w:rPr>
                      <w:rFonts w:hint="eastAsia" w:eastAsia="宋体"/>
                      <w:color w:val="0000FF"/>
                      <w:szCs w:val="21"/>
                    </w:rPr>
                  </w:pPr>
                  <w:r>
                    <w:rPr>
                      <w:rFonts w:hint="eastAsia" w:eastAsia="宋体"/>
                      <w:color w:val="0000FF"/>
                      <w:szCs w:val="21"/>
                    </w:rPr>
                    <w:t>注：（1）时间以合同签订时间为准，业绩须为已完成的业绩；（2）需要文件中提供业绩合同及业主单位盖章的履约完成材料，如合同中无法体现时间、项目内容等关键信息的，须另附业主证明材料，否则不予认可。</w:t>
                  </w:r>
                </w:p>
              </w:tc>
              <w:tc>
                <w:tcPr>
                  <w:tcW w:w="2061" w:type="dxa"/>
                  <w:tcBorders>
                    <w:top w:val="single" w:color="auto" w:sz="4" w:space="0"/>
                    <w:left w:val="single" w:color="auto" w:sz="4" w:space="0"/>
                  </w:tcBorders>
                  <w:vAlign w:val="center"/>
                </w:tcPr>
                <w:p w14:paraId="5E062403">
                  <w:pPr>
                    <w:pStyle w:val="2"/>
                    <w:jc w:val="both"/>
                    <w:rPr>
                      <w:rFonts w:hint="default" w:ascii="宋体" w:hAnsi="宋体" w:eastAsia="宋体" w:cs="宋体"/>
                      <w:b w:val="0"/>
                      <w:bCs/>
                      <w:color w:val="0000FF"/>
                      <w:kern w:val="2"/>
                      <w:sz w:val="21"/>
                      <w:szCs w:val="21"/>
                      <w:lang w:val="en-US" w:eastAsia="zh-CN" w:bidi="ar-SA"/>
                    </w:rPr>
                  </w:pPr>
                  <w:r>
                    <w:rPr>
                      <w:rFonts w:hint="eastAsia" w:cs="宋体"/>
                      <w:b w:val="0"/>
                      <w:bCs/>
                      <w:color w:val="0000FF"/>
                      <w:kern w:val="2"/>
                      <w:sz w:val="21"/>
                      <w:szCs w:val="21"/>
                      <w:lang w:val="en-US" w:eastAsia="zh-CN" w:bidi="ar-SA"/>
                    </w:rPr>
                    <w:t>10分</w:t>
                  </w:r>
                </w:p>
              </w:tc>
            </w:tr>
            <w:tr w14:paraId="00B1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1" w:type="dxa"/>
                  <w:tcBorders>
                    <w:right w:val="single" w:color="auto" w:sz="4" w:space="0"/>
                  </w:tcBorders>
                  <w:vAlign w:val="center"/>
                </w:tcPr>
                <w:p w14:paraId="6BB6AD90">
                  <w:pPr>
                    <w:widowControl/>
                    <w:jc w:val="center"/>
                    <w:rPr>
                      <w:rFonts w:hint="eastAsia" w:ascii="宋体" w:hAnsi="宋体" w:eastAsia="宋体" w:cs="宋体"/>
                      <w:color w:val="0000FF"/>
                      <w:kern w:val="0"/>
                      <w:szCs w:val="21"/>
                      <w:lang w:eastAsia="zh-CN"/>
                    </w:rPr>
                  </w:pPr>
                  <w:r>
                    <w:rPr>
                      <w:rFonts w:hint="eastAsia" w:ascii="宋体" w:hAnsi="宋体" w:cs="宋体"/>
                      <w:color w:val="0000FF"/>
                      <w:kern w:val="0"/>
                      <w:szCs w:val="21"/>
                      <w:lang w:val="en-US" w:eastAsia="zh-CN"/>
                    </w:rPr>
                    <w:t>2</w:t>
                  </w:r>
                </w:p>
              </w:tc>
              <w:tc>
                <w:tcPr>
                  <w:tcW w:w="1366" w:type="dxa"/>
                  <w:tcBorders>
                    <w:left w:val="single" w:color="auto" w:sz="4" w:space="0"/>
                  </w:tcBorders>
                  <w:vAlign w:val="center"/>
                </w:tcPr>
                <w:p w14:paraId="191FBDF8">
                  <w:pPr>
                    <w:widowControl/>
                    <w:jc w:val="center"/>
                    <w:textAlignment w:val="center"/>
                    <w:rPr>
                      <w:rFonts w:ascii="宋体" w:hAnsi="宋体" w:eastAsia="宋体" w:cs="宋体"/>
                      <w:color w:val="0000FF"/>
                      <w:szCs w:val="21"/>
                    </w:rPr>
                  </w:pPr>
                  <w:r>
                    <w:rPr>
                      <w:rFonts w:hint="eastAsia" w:ascii="宋体" w:hAnsi="宋体" w:eastAsia="宋体" w:cs="宋体"/>
                      <w:color w:val="0000FF"/>
                      <w:szCs w:val="21"/>
                    </w:rPr>
                    <w:t>服务方案</w:t>
                  </w:r>
                </w:p>
              </w:tc>
              <w:tc>
                <w:tcPr>
                  <w:tcW w:w="5190" w:type="dxa"/>
                  <w:vAlign w:val="center"/>
                </w:tcPr>
                <w:p w14:paraId="6C4B150E">
                  <w:pPr>
                    <w:pStyle w:val="11"/>
                    <w:ind w:right="19"/>
                    <w:rPr>
                      <w:rFonts w:hint="eastAsia"/>
                      <w:color w:val="0000FF"/>
                      <w:szCs w:val="21"/>
                      <w:lang w:val="en-US" w:eastAsia="zh-CN"/>
                    </w:rPr>
                  </w:pPr>
                  <w:r>
                    <w:rPr>
                      <w:rFonts w:hint="eastAsia" w:eastAsia="宋体"/>
                      <w:color w:val="0000FF"/>
                      <w:szCs w:val="21"/>
                      <w:lang w:val="en-US"/>
                    </w:rPr>
                    <w:t>投标人针对本项目制定本次活动整体服务方案，包含人员组织、</w:t>
                  </w:r>
                  <w:r>
                    <w:rPr>
                      <w:rFonts w:hint="eastAsia"/>
                      <w:color w:val="0000FF"/>
                      <w:szCs w:val="21"/>
                      <w:highlight w:val="none"/>
                      <w:lang w:val="en-US" w:eastAsia="zh-CN"/>
                    </w:rPr>
                    <w:t>节目演出、</w:t>
                  </w:r>
                  <w:r>
                    <w:rPr>
                      <w:rFonts w:hint="eastAsia" w:eastAsia="宋体"/>
                      <w:color w:val="0000FF"/>
                      <w:szCs w:val="21"/>
                      <w:lang w:val="en-US"/>
                    </w:rPr>
                    <w:t>场地布置、相关物料设计等</w:t>
                  </w:r>
                  <w:r>
                    <w:rPr>
                      <w:rFonts w:hint="eastAsia"/>
                      <w:color w:val="0000FF"/>
                      <w:szCs w:val="21"/>
                      <w:lang w:val="en-US" w:eastAsia="zh-CN"/>
                    </w:rPr>
                    <w:t>：</w:t>
                  </w:r>
                </w:p>
                <w:p w14:paraId="40EFA5FD">
                  <w:pPr>
                    <w:pStyle w:val="11"/>
                    <w:ind w:right="19"/>
                    <w:rPr>
                      <w:rFonts w:hint="eastAsia"/>
                      <w:color w:val="0000FF"/>
                      <w:szCs w:val="21"/>
                      <w:lang w:val="en-US" w:eastAsia="zh-CN"/>
                    </w:rPr>
                  </w:pPr>
                  <w:r>
                    <w:rPr>
                      <w:rFonts w:hint="eastAsia"/>
                      <w:color w:val="0000FF"/>
                      <w:szCs w:val="21"/>
                      <w:lang w:val="en-US" w:eastAsia="zh-CN"/>
                    </w:rPr>
                    <w:t>1.戏曲类节目，围绕包公主题打造的原创庐剧情景剧，每提供一个加5分，满分5分；</w:t>
                  </w:r>
                </w:p>
                <w:p w14:paraId="252CCDD3">
                  <w:pPr>
                    <w:pStyle w:val="11"/>
                    <w:ind w:right="19"/>
                    <w:rPr>
                      <w:rFonts w:hint="eastAsia"/>
                      <w:color w:val="0000FF"/>
                      <w:szCs w:val="21"/>
                      <w:lang w:val="en-US" w:eastAsia="zh-CN"/>
                    </w:rPr>
                  </w:pPr>
                  <w:r>
                    <w:rPr>
                      <w:rFonts w:hint="eastAsia"/>
                      <w:color w:val="0000FF"/>
                      <w:szCs w:val="21"/>
                      <w:lang w:val="en-US" w:eastAsia="zh-CN"/>
                    </w:rPr>
                    <w:t>2.提供“包公文化”主题元素舞蹈的编曲、作词，每提供一个加5分，满分5分；</w:t>
                  </w:r>
                </w:p>
                <w:p w14:paraId="1BE8D4D9">
                  <w:pPr>
                    <w:pStyle w:val="11"/>
                    <w:ind w:right="19"/>
                    <w:rPr>
                      <w:rFonts w:hint="eastAsia" w:eastAsia="宋体"/>
                      <w:color w:val="0000FF"/>
                      <w:szCs w:val="21"/>
                      <w:lang w:val="en-US" w:eastAsia="zh-CN"/>
                    </w:rPr>
                  </w:pPr>
                  <w:r>
                    <w:rPr>
                      <w:rFonts w:hint="eastAsia" w:eastAsia="宋体"/>
                      <w:color w:val="0000FF"/>
                      <w:szCs w:val="21"/>
                      <w:lang w:val="en-US" w:eastAsia="zh-CN"/>
                    </w:rPr>
                    <w:t>方案内容详细、</w:t>
                  </w:r>
                  <w:r>
                    <w:rPr>
                      <w:rFonts w:hint="eastAsia" w:eastAsia="宋体"/>
                      <w:color w:val="0000FF"/>
                      <w:szCs w:val="21"/>
                      <w:lang w:val="en-US"/>
                    </w:rPr>
                    <w:t>形式创新、可行性强</w:t>
                  </w:r>
                  <w:r>
                    <w:rPr>
                      <w:rFonts w:hint="eastAsia"/>
                      <w:color w:val="0000FF"/>
                      <w:szCs w:val="21"/>
                      <w:lang w:val="en-US" w:eastAsia="zh-CN"/>
                    </w:rPr>
                    <w:t>，且符合采购需求的</w:t>
                  </w:r>
                  <w:r>
                    <w:rPr>
                      <w:rFonts w:hint="default" w:eastAsia="宋体"/>
                      <w:color w:val="0000FF"/>
                      <w:szCs w:val="21"/>
                      <w:lang w:val="en-US"/>
                    </w:rPr>
                    <w:t>2</w:t>
                  </w:r>
                  <w:r>
                    <w:rPr>
                      <w:rFonts w:hint="eastAsia"/>
                      <w:color w:val="0000FF"/>
                      <w:szCs w:val="21"/>
                      <w:lang w:val="en-US" w:eastAsia="zh-CN"/>
                    </w:rPr>
                    <w:t>0-30</w:t>
                  </w:r>
                  <w:r>
                    <w:rPr>
                      <w:rFonts w:hint="eastAsia" w:eastAsia="宋体"/>
                      <w:color w:val="0000FF"/>
                      <w:szCs w:val="21"/>
                      <w:lang w:val="en-US"/>
                    </w:rPr>
                    <w:t>分</w:t>
                  </w:r>
                  <w:r>
                    <w:rPr>
                      <w:rFonts w:hint="eastAsia"/>
                      <w:color w:val="0000FF"/>
                      <w:szCs w:val="21"/>
                      <w:lang w:val="en-US" w:eastAsia="zh-CN"/>
                    </w:rPr>
                    <w:t>；</w:t>
                  </w:r>
                </w:p>
                <w:p w14:paraId="588379A7">
                  <w:pPr>
                    <w:pStyle w:val="11"/>
                    <w:ind w:right="19"/>
                    <w:rPr>
                      <w:rFonts w:hint="eastAsia" w:eastAsia="宋体"/>
                      <w:color w:val="0000FF"/>
                      <w:szCs w:val="21"/>
                      <w:lang w:val="en-US" w:eastAsia="zh-CN"/>
                    </w:rPr>
                  </w:pPr>
                  <w:r>
                    <w:rPr>
                      <w:rFonts w:hint="eastAsia" w:eastAsia="宋体"/>
                      <w:color w:val="0000FF"/>
                      <w:szCs w:val="21"/>
                      <w:lang w:val="en-US"/>
                    </w:rPr>
                    <w:t>方案内容一般、形式单一</w:t>
                  </w:r>
                  <w:r>
                    <w:rPr>
                      <w:rFonts w:hint="eastAsia"/>
                      <w:color w:val="0000FF"/>
                      <w:szCs w:val="21"/>
                      <w:lang w:val="en-US" w:eastAsia="zh-CN"/>
                    </w:rPr>
                    <w:t>，基本能对应采购需求的</w:t>
                  </w:r>
                  <w:r>
                    <w:rPr>
                      <w:rFonts w:hint="eastAsia" w:eastAsia="宋体"/>
                      <w:color w:val="0000FF"/>
                      <w:szCs w:val="21"/>
                      <w:lang w:val="en-US"/>
                    </w:rPr>
                    <w:t>10-</w:t>
                  </w:r>
                  <w:r>
                    <w:rPr>
                      <w:rFonts w:hint="eastAsia"/>
                      <w:color w:val="0000FF"/>
                      <w:szCs w:val="21"/>
                      <w:lang w:val="en-US" w:eastAsia="zh-CN"/>
                    </w:rPr>
                    <w:t>19</w:t>
                  </w:r>
                  <w:r>
                    <w:rPr>
                      <w:rFonts w:hint="eastAsia" w:eastAsia="宋体"/>
                      <w:color w:val="0000FF"/>
                      <w:szCs w:val="21"/>
                      <w:lang w:val="en-US"/>
                    </w:rPr>
                    <w:t>分</w:t>
                  </w:r>
                  <w:r>
                    <w:rPr>
                      <w:rFonts w:hint="eastAsia"/>
                      <w:color w:val="0000FF"/>
                      <w:szCs w:val="21"/>
                      <w:lang w:val="en-US" w:eastAsia="zh-CN"/>
                    </w:rPr>
                    <w:t>；</w:t>
                  </w:r>
                </w:p>
                <w:p w14:paraId="6C57D156">
                  <w:pPr>
                    <w:pStyle w:val="11"/>
                    <w:ind w:right="19"/>
                    <w:rPr>
                      <w:rFonts w:hint="eastAsia" w:eastAsia="宋体"/>
                      <w:color w:val="0000FF"/>
                      <w:szCs w:val="21"/>
                      <w:lang w:val="en-US" w:eastAsia="zh-CN"/>
                    </w:rPr>
                  </w:pPr>
                  <w:r>
                    <w:rPr>
                      <w:rFonts w:hint="eastAsia" w:eastAsia="宋体"/>
                      <w:color w:val="0000FF"/>
                      <w:szCs w:val="21"/>
                      <w:lang w:val="en-US"/>
                    </w:rPr>
                    <w:t>方案内容不完善的</w:t>
                  </w:r>
                  <w:r>
                    <w:rPr>
                      <w:rFonts w:hint="eastAsia"/>
                      <w:color w:val="0000FF"/>
                      <w:szCs w:val="21"/>
                      <w:lang w:val="en-US" w:eastAsia="zh-CN"/>
                    </w:rPr>
                    <w:t>，</w:t>
                  </w:r>
                  <w:r>
                    <w:rPr>
                      <w:rFonts w:hint="eastAsia" w:eastAsia="宋体"/>
                      <w:color w:val="0000FF"/>
                      <w:szCs w:val="21"/>
                      <w:lang w:val="en-US"/>
                    </w:rPr>
                    <w:t>得10分以下</w:t>
                  </w:r>
                  <w:r>
                    <w:rPr>
                      <w:rFonts w:hint="eastAsia"/>
                      <w:color w:val="0000FF"/>
                      <w:szCs w:val="21"/>
                      <w:lang w:val="en-US" w:eastAsia="zh-CN"/>
                    </w:rPr>
                    <w:t>；</w:t>
                  </w:r>
                </w:p>
                <w:p w14:paraId="66B52BE5">
                  <w:pPr>
                    <w:pStyle w:val="11"/>
                    <w:ind w:right="19"/>
                    <w:rPr>
                      <w:rFonts w:hint="eastAsia" w:eastAsia="宋体"/>
                      <w:color w:val="0000FF"/>
                      <w:szCs w:val="21"/>
                      <w:lang w:val="en-US" w:eastAsia="zh-CN"/>
                    </w:rPr>
                  </w:pPr>
                  <w:r>
                    <w:rPr>
                      <w:rFonts w:hint="eastAsia" w:eastAsia="宋体"/>
                      <w:color w:val="0000FF"/>
                      <w:szCs w:val="21"/>
                      <w:lang w:val="en-US"/>
                    </w:rPr>
                    <w:t>未提供相关内容的不得分</w:t>
                  </w:r>
                  <w:r>
                    <w:rPr>
                      <w:rFonts w:hint="eastAsia"/>
                      <w:color w:val="0000FF"/>
                      <w:szCs w:val="21"/>
                      <w:lang w:val="en-US" w:eastAsia="zh-CN"/>
                    </w:rPr>
                    <w:t>。</w:t>
                  </w:r>
                </w:p>
              </w:tc>
              <w:tc>
                <w:tcPr>
                  <w:tcW w:w="2061" w:type="dxa"/>
                  <w:vAlign w:val="center"/>
                </w:tcPr>
                <w:p w14:paraId="31732619">
                  <w:pPr>
                    <w:rPr>
                      <w:rFonts w:hint="default" w:ascii="宋体" w:hAnsi="宋体" w:eastAsia="宋体" w:cs="宋体"/>
                      <w:color w:val="0000FF"/>
                      <w:szCs w:val="21"/>
                      <w:lang w:val="en-US" w:eastAsia="zh-CN"/>
                    </w:rPr>
                  </w:pPr>
                  <w:r>
                    <w:rPr>
                      <w:rFonts w:hint="eastAsia" w:ascii="宋体" w:hAnsi="宋体" w:cs="宋体"/>
                      <w:bCs/>
                      <w:color w:val="0000FF"/>
                      <w:szCs w:val="21"/>
                      <w:lang w:val="en-US" w:eastAsia="zh-CN"/>
                    </w:rPr>
                    <w:t>40分</w:t>
                  </w:r>
                </w:p>
              </w:tc>
            </w:tr>
            <w:tr w14:paraId="28D1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1" w:type="dxa"/>
                  <w:tcBorders>
                    <w:right w:val="single" w:color="auto" w:sz="4" w:space="0"/>
                  </w:tcBorders>
                  <w:vAlign w:val="center"/>
                </w:tcPr>
                <w:p w14:paraId="4C4B7A3C">
                  <w:pPr>
                    <w:widowControl/>
                    <w:jc w:val="center"/>
                    <w:rPr>
                      <w:rFonts w:hint="eastAsia" w:ascii="宋体" w:hAnsi="宋体" w:eastAsia="宋体" w:cs="宋体"/>
                      <w:color w:val="0000FF"/>
                      <w:kern w:val="0"/>
                      <w:szCs w:val="21"/>
                      <w:lang w:eastAsia="zh-CN"/>
                    </w:rPr>
                  </w:pPr>
                  <w:r>
                    <w:rPr>
                      <w:rFonts w:hint="eastAsia" w:ascii="宋体" w:hAnsi="宋体" w:cs="宋体"/>
                      <w:color w:val="0000FF"/>
                      <w:kern w:val="0"/>
                      <w:szCs w:val="21"/>
                      <w:lang w:val="en-US" w:eastAsia="zh-CN"/>
                    </w:rPr>
                    <w:t>3</w:t>
                  </w:r>
                </w:p>
              </w:tc>
              <w:tc>
                <w:tcPr>
                  <w:tcW w:w="1366" w:type="dxa"/>
                  <w:tcBorders>
                    <w:left w:val="single" w:color="auto" w:sz="4" w:space="0"/>
                  </w:tcBorders>
                  <w:vAlign w:val="center"/>
                </w:tcPr>
                <w:p w14:paraId="64C110B3">
                  <w:pPr>
                    <w:widowControl/>
                    <w:jc w:val="center"/>
                    <w:textAlignment w:val="center"/>
                    <w:rPr>
                      <w:rFonts w:ascii="宋体" w:hAnsi="宋体" w:eastAsia="宋体" w:cs="宋体"/>
                      <w:color w:val="0000FF"/>
                      <w:szCs w:val="21"/>
                    </w:rPr>
                  </w:pPr>
                  <w:r>
                    <w:rPr>
                      <w:rFonts w:hint="eastAsia" w:ascii="宋体" w:hAnsi="宋体" w:eastAsia="宋体" w:cs="宋体"/>
                      <w:color w:val="0000FF"/>
                      <w:szCs w:val="21"/>
                    </w:rPr>
                    <w:t>人员配备</w:t>
                  </w:r>
                </w:p>
              </w:tc>
              <w:tc>
                <w:tcPr>
                  <w:tcW w:w="5190" w:type="dxa"/>
                  <w:vAlign w:val="center"/>
                </w:tcPr>
                <w:p w14:paraId="63EABE23">
                  <w:pPr>
                    <w:pStyle w:val="11"/>
                    <w:ind w:right="19"/>
                    <w:rPr>
                      <w:rFonts w:eastAsia="宋体"/>
                      <w:color w:val="0000FF"/>
                      <w:szCs w:val="21"/>
                      <w:lang w:val="en-US"/>
                    </w:rPr>
                  </w:pPr>
                  <w:r>
                    <w:rPr>
                      <w:rFonts w:hint="eastAsia" w:eastAsia="宋体"/>
                      <w:color w:val="0000FF"/>
                      <w:szCs w:val="21"/>
                      <w:lang w:val="en-US"/>
                    </w:rPr>
                    <w:t>供应商为本项目配备的人员：</w:t>
                  </w:r>
                </w:p>
                <w:p w14:paraId="212B9709">
                  <w:pPr>
                    <w:pStyle w:val="11"/>
                    <w:ind w:right="19" w:firstLine="210" w:firstLineChars="100"/>
                    <w:rPr>
                      <w:rFonts w:eastAsia="宋体"/>
                      <w:color w:val="0000FF"/>
                      <w:szCs w:val="21"/>
                      <w:lang w:val="en-US"/>
                    </w:rPr>
                  </w:pPr>
                  <w:r>
                    <w:rPr>
                      <w:rFonts w:hint="eastAsia" w:eastAsia="宋体"/>
                      <w:color w:val="0000FF"/>
                      <w:szCs w:val="21"/>
                      <w:lang w:val="en-US"/>
                    </w:rPr>
                    <w:t>核心团队</w:t>
                  </w:r>
                  <w:r>
                    <w:rPr>
                      <w:rFonts w:hint="eastAsia"/>
                      <w:color w:val="0000FF"/>
                      <w:szCs w:val="21"/>
                      <w:lang w:val="en-US" w:eastAsia="zh-CN"/>
                    </w:rPr>
                    <w:t>15-20</w:t>
                  </w:r>
                  <w:r>
                    <w:rPr>
                      <w:rFonts w:hint="eastAsia" w:eastAsia="宋体"/>
                      <w:color w:val="0000FF"/>
                      <w:szCs w:val="21"/>
                      <w:lang w:val="en-US"/>
                    </w:rPr>
                    <w:t>人，得</w:t>
                  </w:r>
                  <w:r>
                    <w:rPr>
                      <w:rFonts w:hint="eastAsia"/>
                      <w:color w:val="0000FF"/>
                      <w:szCs w:val="21"/>
                      <w:lang w:val="en-US" w:eastAsia="zh-CN"/>
                    </w:rPr>
                    <w:t>17-24</w:t>
                  </w:r>
                  <w:r>
                    <w:rPr>
                      <w:rFonts w:hint="eastAsia" w:eastAsia="宋体"/>
                      <w:color w:val="0000FF"/>
                      <w:szCs w:val="21"/>
                      <w:lang w:val="en-US"/>
                    </w:rPr>
                    <w:t>分；</w:t>
                  </w:r>
                </w:p>
                <w:p w14:paraId="279D33C8">
                  <w:pPr>
                    <w:pStyle w:val="11"/>
                    <w:ind w:right="19" w:firstLine="210" w:firstLineChars="100"/>
                    <w:rPr>
                      <w:rFonts w:eastAsia="宋体"/>
                      <w:color w:val="0000FF"/>
                      <w:szCs w:val="21"/>
                      <w:lang w:val="en-US"/>
                    </w:rPr>
                  </w:pPr>
                  <w:r>
                    <w:rPr>
                      <w:rFonts w:hint="eastAsia" w:eastAsia="宋体"/>
                      <w:color w:val="0000FF"/>
                      <w:szCs w:val="21"/>
                      <w:lang w:val="en-US"/>
                    </w:rPr>
                    <w:t>核心团队</w:t>
                  </w:r>
                  <w:r>
                    <w:rPr>
                      <w:rFonts w:hint="eastAsia"/>
                      <w:color w:val="0000FF"/>
                      <w:szCs w:val="21"/>
                      <w:lang w:val="en-US" w:eastAsia="zh-CN"/>
                    </w:rPr>
                    <w:t>10-15</w:t>
                  </w:r>
                  <w:r>
                    <w:rPr>
                      <w:rFonts w:hint="eastAsia" w:eastAsia="宋体"/>
                      <w:color w:val="0000FF"/>
                      <w:szCs w:val="21"/>
                      <w:lang w:val="en-US"/>
                    </w:rPr>
                    <w:t>人，得</w:t>
                  </w:r>
                  <w:r>
                    <w:rPr>
                      <w:rFonts w:hint="eastAsia"/>
                      <w:color w:val="0000FF"/>
                      <w:szCs w:val="21"/>
                      <w:lang w:val="en-US" w:eastAsia="zh-CN"/>
                    </w:rPr>
                    <w:t>9-16</w:t>
                  </w:r>
                  <w:r>
                    <w:rPr>
                      <w:rFonts w:hint="eastAsia" w:eastAsia="宋体"/>
                      <w:color w:val="0000FF"/>
                      <w:szCs w:val="21"/>
                      <w:lang w:val="en-US"/>
                    </w:rPr>
                    <w:t>分；</w:t>
                  </w:r>
                </w:p>
                <w:p w14:paraId="61570E73">
                  <w:pPr>
                    <w:pStyle w:val="11"/>
                    <w:ind w:right="19" w:firstLine="210" w:firstLineChars="100"/>
                    <w:rPr>
                      <w:rFonts w:eastAsia="宋体"/>
                      <w:color w:val="0000FF"/>
                      <w:szCs w:val="21"/>
                      <w:lang w:val="en-US"/>
                    </w:rPr>
                  </w:pPr>
                  <w:r>
                    <w:rPr>
                      <w:rFonts w:hint="eastAsia" w:eastAsia="宋体"/>
                      <w:color w:val="0000FF"/>
                      <w:szCs w:val="21"/>
                      <w:lang w:val="en-US"/>
                    </w:rPr>
                    <w:t>核心团队＜</w:t>
                  </w:r>
                  <w:r>
                    <w:rPr>
                      <w:rFonts w:hint="eastAsia"/>
                      <w:color w:val="0000FF"/>
                      <w:szCs w:val="21"/>
                      <w:lang w:val="en-US" w:eastAsia="zh-CN"/>
                    </w:rPr>
                    <w:t>10</w:t>
                  </w:r>
                  <w:r>
                    <w:rPr>
                      <w:rFonts w:hint="eastAsia" w:eastAsia="宋体"/>
                      <w:color w:val="0000FF"/>
                      <w:szCs w:val="21"/>
                      <w:lang w:val="en-US"/>
                    </w:rPr>
                    <w:t>人，得</w:t>
                  </w:r>
                  <w:r>
                    <w:rPr>
                      <w:rFonts w:hint="eastAsia"/>
                      <w:color w:val="0000FF"/>
                      <w:szCs w:val="21"/>
                      <w:lang w:val="en-US" w:eastAsia="zh-CN"/>
                    </w:rPr>
                    <w:t>0-8</w:t>
                  </w:r>
                  <w:r>
                    <w:rPr>
                      <w:rFonts w:hint="eastAsia" w:eastAsia="宋体"/>
                      <w:color w:val="0000FF"/>
                      <w:szCs w:val="21"/>
                      <w:lang w:val="en-US"/>
                    </w:rPr>
                    <w:t>分；</w:t>
                  </w:r>
                </w:p>
                <w:p w14:paraId="04BE24DB">
                  <w:pPr>
                    <w:pStyle w:val="11"/>
                    <w:ind w:right="19"/>
                    <w:rPr>
                      <w:rFonts w:eastAsia="宋体"/>
                      <w:color w:val="0000FF"/>
                      <w:szCs w:val="21"/>
                      <w:lang w:val="en-US"/>
                    </w:rPr>
                  </w:pPr>
                  <w:r>
                    <w:rPr>
                      <w:rFonts w:hint="eastAsia" w:eastAsia="宋体"/>
                      <w:color w:val="0000FF"/>
                      <w:szCs w:val="21"/>
                      <w:lang w:val="en-US"/>
                    </w:rPr>
                    <w:t>注：响应文件中需提供团队人员配备一览表，并提供供应商为上述人员缴纳的截止开标之日前 6个月内任意一个月的</w:t>
                  </w:r>
                  <w:r>
                    <w:rPr>
                      <w:rFonts w:hint="eastAsia" w:eastAsia="宋体"/>
                      <w:b/>
                      <w:bCs/>
                      <w:color w:val="0000FF"/>
                      <w:szCs w:val="21"/>
                      <w:lang w:val="en-US"/>
                    </w:rPr>
                    <w:t>社保证明</w:t>
                  </w:r>
                  <w:r>
                    <w:rPr>
                      <w:rFonts w:hint="eastAsia" w:eastAsia="宋体"/>
                      <w:color w:val="0000FF"/>
                      <w:szCs w:val="21"/>
                      <w:lang w:val="en-US"/>
                    </w:rPr>
                    <w:t>材料，否则不得分。</w:t>
                  </w:r>
                </w:p>
              </w:tc>
              <w:tc>
                <w:tcPr>
                  <w:tcW w:w="2061" w:type="dxa"/>
                  <w:vAlign w:val="center"/>
                </w:tcPr>
                <w:p w14:paraId="2FC46D19">
                  <w:pPr>
                    <w:rPr>
                      <w:rFonts w:hint="default" w:ascii="宋体" w:hAnsi="宋体" w:eastAsia="宋体" w:cs="宋体"/>
                      <w:color w:val="0000FF"/>
                      <w:szCs w:val="21"/>
                      <w:lang w:val="en-US" w:eastAsia="zh-CN"/>
                    </w:rPr>
                  </w:pPr>
                  <w:r>
                    <w:rPr>
                      <w:rFonts w:hint="eastAsia" w:ascii="宋体" w:hAnsi="宋体" w:cs="宋体"/>
                      <w:bCs/>
                      <w:color w:val="0000FF"/>
                      <w:szCs w:val="21"/>
                      <w:lang w:val="en-US" w:eastAsia="zh-CN"/>
                    </w:rPr>
                    <w:t>24分</w:t>
                  </w:r>
                </w:p>
              </w:tc>
            </w:tr>
            <w:tr w14:paraId="450D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1241" w:type="dxa"/>
                  <w:tcBorders>
                    <w:right w:val="single" w:color="auto" w:sz="4" w:space="0"/>
                  </w:tcBorders>
                  <w:vAlign w:val="center"/>
                </w:tcPr>
                <w:p w14:paraId="2A78110B">
                  <w:pPr>
                    <w:widowControl/>
                    <w:jc w:val="center"/>
                    <w:rPr>
                      <w:rFonts w:hint="eastAsia" w:ascii="宋体" w:hAnsi="宋体" w:eastAsia="宋体" w:cs="宋体"/>
                      <w:color w:val="0000FF"/>
                      <w:kern w:val="0"/>
                      <w:szCs w:val="21"/>
                      <w:lang w:eastAsia="zh-CN"/>
                    </w:rPr>
                  </w:pPr>
                  <w:r>
                    <w:rPr>
                      <w:rFonts w:hint="eastAsia" w:ascii="宋体" w:hAnsi="宋体" w:cs="宋体"/>
                      <w:color w:val="0000FF"/>
                      <w:kern w:val="0"/>
                      <w:szCs w:val="21"/>
                      <w:lang w:val="en-US" w:eastAsia="zh-CN"/>
                    </w:rPr>
                    <w:t>4</w:t>
                  </w:r>
                </w:p>
              </w:tc>
              <w:tc>
                <w:tcPr>
                  <w:tcW w:w="1366" w:type="dxa"/>
                  <w:tcBorders>
                    <w:left w:val="single" w:color="auto" w:sz="4" w:space="0"/>
                  </w:tcBorders>
                  <w:vAlign w:val="center"/>
                </w:tcPr>
                <w:p w14:paraId="15FA694B">
                  <w:pPr>
                    <w:widowControl/>
                    <w:jc w:val="center"/>
                    <w:textAlignment w:val="center"/>
                    <w:rPr>
                      <w:rFonts w:ascii="宋体" w:hAnsi="宋体" w:eastAsia="宋体" w:cs="宋体"/>
                      <w:color w:val="0000FF"/>
                      <w:szCs w:val="21"/>
                    </w:rPr>
                  </w:pPr>
                  <w:r>
                    <w:rPr>
                      <w:rFonts w:hint="eastAsia" w:ascii="宋体" w:hAnsi="宋体" w:eastAsia="宋体" w:cs="宋体"/>
                      <w:color w:val="0000FF"/>
                      <w:szCs w:val="21"/>
                    </w:rPr>
                    <w:t>价格部分</w:t>
                  </w:r>
                </w:p>
              </w:tc>
              <w:tc>
                <w:tcPr>
                  <w:tcW w:w="5190" w:type="dxa"/>
                  <w:vAlign w:val="center"/>
                </w:tcPr>
                <w:p w14:paraId="422D569A">
                  <w:pPr>
                    <w:pStyle w:val="11"/>
                    <w:ind w:right="19"/>
                    <w:rPr>
                      <w:rFonts w:eastAsia="宋体"/>
                      <w:color w:val="0000FF"/>
                      <w:sz w:val="28"/>
                      <w:szCs w:val="28"/>
                    </w:rPr>
                  </w:pPr>
                  <w:r>
                    <w:rPr>
                      <w:rFonts w:hint="eastAsia" w:eastAsia="宋体"/>
                      <w:color w:val="0000FF"/>
                      <w:szCs w:val="21"/>
                    </w:rPr>
                    <w:t>价格分统一采用低价优先法，即满足磋商文件要求且投标价格最低的投标报价为评标基准价，其价格分为满分 15分。其他投标供应商的价格分统一按照下列公式计算：投标报价得分＝（评标基准价/投标报价）×15％×100</w:t>
                  </w:r>
                </w:p>
              </w:tc>
              <w:tc>
                <w:tcPr>
                  <w:tcW w:w="2061" w:type="dxa"/>
                  <w:vAlign w:val="center"/>
                </w:tcPr>
                <w:p w14:paraId="0272DDD0">
                  <w:pPr>
                    <w:rPr>
                      <w:rFonts w:hint="eastAsia" w:ascii="宋体" w:hAnsi="宋体" w:eastAsia="宋体" w:cs="宋体"/>
                      <w:color w:val="0000FF"/>
                      <w:szCs w:val="21"/>
                      <w:lang w:val="en-US" w:eastAsia="zh-CN"/>
                    </w:rPr>
                  </w:pPr>
                  <w:r>
                    <w:rPr>
                      <w:rFonts w:hint="eastAsia" w:ascii="宋体" w:hAnsi="宋体" w:eastAsia="宋体" w:cs="宋体"/>
                      <w:bCs/>
                      <w:color w:val="0000FF"/>
                      <w:szCs w:val="21"/>
                    </w:rPr>
                    <w:t>1</w:t>
                  </w:r>
                  <w:r>
                    <w:rPr>
                      <w:rFonts w:hint="eastAsia" w:ascii="宋体" w:hAnsi="宋体" w:cs="宋体"/>
                      <w:bCs/>
                      <w:color w:val="0000FF"/>
                      <w:szCs w:val="21"/>
                      <w:lang w:val="en-US" w:eastAsia="zh-CN"/>
                    </w:rPr>
                    <w:t>0分</w:t>
                  </w:r>
                </w:p>
              </w:tc>
            </w:tr>
          </w:tbl>
          <w:p w14:paraId="4094A3F9">
            <w:pPr>
              <w:widowControl/>
              <w:spacing w:line="520" w:lineRule="exact"/>
              <w:jc w:val="left"/>
            </w:pPr>
          </w:p>
        </w:tc>
      </w:tr>
      <w:tr w14:paraId="0FA182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46" w:type="dxa"/>
            <w:gridSpan w:val="8"/>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3DFE13AA">
            <w:pPr>
              <w:widowControl/>
              <w:spacing w:line="520" w:lineRule="exact"/>
              <w:jc w:val="left"/>
              <w:rPr>
                <w:color w:val="auto"/>
              </w:rPr>
            </w:pPr>
            <w:r>
              <w:rPr>
                <w:rFonts w:hint="eastAsia" w:ascii="微软雅黑" w:hAnsi="微软雅黑" w:eastAsia="微软雅黑" w:cs="微软雅黑"/>
                <w:color w:val="auto"/>
                <w:kern w:val="0"/>
                <w:sz w:val="24"/>
              </w:rPr>
              <w:t>项目经办人：</w:t>
            </w:r>
            <w:r>
              <w:rPr>
                <w:rFonts w:hint="eastAsia" w:ascii="微软雅黑" w:hAnsi="微软雅黑" w:eastAsia="微软雅黑" w:cs="微软雅黑"/>
                <w:color w:val="auto"/>
                <w:kern w:val="0"/>
                <w:sz w:val="24"/>
                <w:lang w:eastAsia="zh-CN"/>
              </w:rPr>
              <w:t>高理洲</w:t>
            </w:r>
            <w:r>
              <w:rPr>
                <w:rFonts w:hint="eastAsia" w:ascii="微软雅黑" w:hAnsi="微软雅黑" w:eastAsia="微软雅黑" w:cs="微软雅黑"/>
                <w:color w:val="auto"/>
                <w:kern w:val="0"/>
                <w:sz w:val="24"/>
              </w:rPr>
              <w:t>       </w:t>
            </w:r>
          </w:p>
          <w:p w14:paraId="4050BB10">
            <w:pPr>
              <w:widowControl/>
              <w:spacing w:line="520" w:lineRule="exact"/>
              <w:jc w:val="left"/>
              <w:rPr>
                <w:color w:val="auto"/>
              </w:rPr>
            </w:pPr>
            <w:r>
              <w:rPr>
                <w:rFonts w:hint="eastAsia" w:ascii="微软雅黑" w:hAnsi="微软雅黑" w:eastAsia="微软雅黑" w:cs="微软雅黑"/>
                <w:color w:val="auto"/>
                <w:kern w:val="0"/>
                <w:sz w:val="24"/>
              </w:rPr>
              <w:t>电话：0551-677</w:t>
            </w:r>
            <w:r>
              <w:rPr>
                <w:rFonts w:hint="eastAsia" w:ascii="微软雅黑" w:hAnsi="微软雅黑" w:eastAsia="微软雅黑" w:cs="微软雅黑"/>
                <w:color w:val="auto"/>
                <w:kern w:val="0"/>
                <w:sz w:val="24"/>
                <w:lang w:val="en-US" w:eastAsia="zh-CN"/>
              </w:rPr>
              <w:t>59711</w:t>
            </w:r>
            <w:r>
              <w:rPr>
                <w:rFonts w:hint="eastAsia" w:ascii="微软雅黑" w:hAnsi="微软雅黑" w:eastAsia="微软雅黑" w:cs="微软雅黑"/>
                <w:color w:val="auto"/>
                <w:kern w:val="0"/>
                <w:sz w:val="24"/>
              </w:rPr>
              <w:t>   </w:t>
            </w:r>
          </w:p>
          <w:p w14:paraId="05A02A3A">
            <w:pPr>
              <w:widowControl/>
              <w:spacing w:line="520" w:lineRule="exact"/>
              <w:jc w:val="left"/>
              <w:rPr>
                <w:color w:val="auto"/>
              </w:rPr>
            </w:pPr>
            <w:r>
              <w:rPr>
                <w:rFonts w:hint="eastAsia" w:ascii="微软雅黑" w:hAnsi="微软雅黑" w:eastAsia="微软雅黑" w:cs="微软雅黑"/>
                <w:color w:val="auto"/>
                <w:kern w:val="0"/>
                <w:sz w:val="24"/>
              </w:rPr>
              <w:t>项目监督人：李然 蒋先荣</w:t>
            </w:r>
          </w:p>
          <w:p w14:paraId="6BE2AF2D">
            <w:pPr>
              <w:widowControl/>
              <w:spacing w:line="520" w:lineRule="exact"/>
              <w:jc w:val="left"/>
              <w:rPr>
                <w:color w:val="auto"/>
              </w:rPr>
            </w:pPr>
            <w:r>
              <w:rPr>
                <w:rFonts w:hint="eastAsia" w:ascii="微软雅黑" w:hAnsi="微软雅黑" w:eastAsia="微软雅黑" w:cs="微软雅黑"/>
                <w:color w:val="auto"/>
                <w:kern w:val="0"/>
                <w:sz w:val="24"/>
              </w:rPr>
              <w:t>电话：0551-</w:t>
            </w:r>
            <w:r>
              <w:rPr>
                <w:rFonts w:hint="eastAsia" w:ascii="微软雅黑" w:hAnsi="微软雅黑" w:eastAsia="微软雅黑" w:cs="宋体"/>
                <w:color w:val="auto"/>
                <w:kern w:val="0"/>
                <w:sz w:val="24"/>
              </w:rPr>
              <w:t>677</w:t>
            </w:r>
            <w:r>
              <w:rPr>
                <w:rFonts w:hint="eastAsia" w:ascii="微软雅黑" w:hAnsi="微软雅黑" w:eastAsia="微软雅黑" w:cs="宋体"/>
                <w:color w:val="auto"/>
                <w:kern w:val="0"/>
                <w:sz w:val="24"/>
                <w:lang w:val="en-US" w:eastAsia="zh-CN"/>
              </w:rPr>
              <w:t>11928</w:t>
            </w:r>
            <w:r>
              <w:rPr>
                <w:rFonts w:hint="eastAsia" w:ascii="微软雅黑" w:hAnsi="微软雅黑" w:eastAsia="微软雅黑" w:cs="微软雅黑"/>
                <w:color w:val="auto"/>
                <w:kern w:val="0"/>
                <w:sz w:val="24"/>
              </w:rPr>
              <w:t>               </w:t>
            </w:r>
          </w:p>
          <w:p w14:paraId="78BBB67C">
            <w:pPr>
              <w:widowControl/>
              <w:spacing w:line="520" w:lineRule="exact"/>
              <w:jc w:val="left"/>
              <w:rPr>
                <w:color w:val="auto"/>
              </w:rPr>
            </w:pPr>
            <w:r>
              <w:rPr>
                <w:rFonts w:hint="eastAsia" w:ascii="微软雅黑" w:hAnsi="微软雅黑" w:eastAsia="微软雅黑" w:cs="微软雅黑"/>
                <w:color w:val="auto"/>
                <w:kern w:val="0"/>
                <w:sz w:val="24"/>
              </w:rPr>
              <w:t>                                                                  </w:t>
            </w:r>
            <w:r>
              <w:rPr>
                <w:rFonts w:hint="eastAsia" w:ascii="微软雅黑" w:hAnsi="微软雅黑" w:eastAsia="微软雅黑" w:cs="微软雅黑"/>
                <w:color w:val="auto"/>
                <w:kern w:val="0"/>
                <w:sz w:val="24"/>
                <w:lang w:val="en-US" w:eastAsia="zh-CN"/>
              </w:rPr>
              <w:t xml:space="preserve">         </w:t>
            </w:r>
            <w:r>
              <w:rPr>
                <w:rFonts w:hint="eastAsia" w:ascii="微软雅黑" w:hAnsi="微软雅黑" w:eastAsia="微软雅黑" w:cs="微软雅黑"/>
                <w:color w:val="auto"/>
                <w:kern w:val="0"/>
                <w:sz w:val="24"/>
              </w:rPr>
              <w:t>中共肥东县委宣传部</w:t>
            </w:r>
          </w:p>
          <w:p w14:paraId="625382BD">
            <w:pPr>
              <w:widowControl/>
              <w:spacing w:line="520" w:lineRule="exact"/>
              <w:jc w:val="right"/>
            </w:pPr>
            <w:r>
              <w:rPr>
                <w:rFonts w:hint="eastAsia" w:ascii="微软雅黑" w:hAnsi="微软雅黑" w:eastAsia="微软雅黑" w:cs="微软雅黑"/>
                <w:b/>
                <w:bCs/>
                <w:color w:val="auto"/>
                <w:kern w:val="0"/>
                <w:sz w:val="24"/>
              </w:rPr>
              <w:t xml:space="preserve">2024年 </w:t>
            </w:r>
            <w:r>
              <w:rPr>
                <w:rFonts w:hint="eastAsia" w:ascii="微软雅黑" w:hAnsi="微软雅黑" w:eastAsia="微软雅黑" w:cs="微软雅黑"/>
                <w:b/>
                <w:bCs/>
                <w:color w:val="auto"/>
                <w:kern w:val="0"/>
                <w:sz w:val="24"/>
                <w:lang w:val="en-US" w:eastAsia="zh-CN"/>
              </w:rPr>
              <w:t>11</w:t>
            </w:r>
            <w:r>
              <w:rPr>
                <w:rFonts w:hint="eastAsia" w:ascii="微软雅黑" w:hAnsi="微软雅黑" w:eastAsia="微软雅黑" w:cs="微软雅黑"/>
                <w:b/>
                <w:bCs/>
                <w:color w:val="auto"/>
                <w:kern w:val="0"/>
                <w:sz w:val="24"/>
              </w:rPr>
              <w:t>月</w:t>
            </w:r>
            <w:r>
              <w:rPr>
                <w:rFonts w:hint="eastAsia" w:ascii="微软雅黑" w:hAnsi="微软雅黑" w:eastAsia="微软雅黑" w:cs="微软雅黑"/>
                <w:b/>
                <w:bCs/>
                <w:color w:val="auto"/>
                <w:kern w:val="0"/>
                <w:sz w:val="24"/>
                <w:lang w:val="en-US" w:eastAsia="zh-CN"/>
              </w:rPr>
              <w:t>11</w:t>
            </w:r>
            <w:r>
              <w:rPr>
                <w:rFonts w:hint="eastAsia" w:ascii="微软雅黑" w:hAnsi="微软雅黑" w:eastAsia="微软雅黑" w:cs="微软雅黑"/>
                <w:color w:val="auto"/>
                <w:kern w:val="0"/>
                <w:sz w:val="24"/>
              </w:rPr>
              <w:t>日</w:t>
            </w:r>
          </w:p>
        </w:tc>
      </w:tr>
    </w:tbl>
    <w:p w14:paraId="14045E3E"/>
    <w:p w14:paraId="05A45AEC"/>
    <w:p w14:paraId="2FDE30F0"/>
    <w:p w14:paraId="16F7BE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9B22A"/>
    <w:multiLevelType w:val="singleLevel"/>
    <w:tmpl w:val="D509B22A"/>
    <w:lvl w:ilvl="0" w:tentative="0">
      <w:start w:val="4"/>
      <w:numFmt w:val="chineseCounting"/>
      <w:suff w:val="nothing"/>
      <w:lvlText w:val="%1、"/>
      <w:lvlJc w:val="left"/>
      <w:rPr>
        <w:rFonts w:hint="eastAsia"/>
      </w:rPr>
    </w:lvl>
  </w:abstractNum>
  <w:abstractNum w:abstractNumId="1">
    <w:nsid w:val="3D3E9BD7"/>
    <w:multiLevelType w:val="singleLevel"/>
    <w:tmpl w:val="3D3E9BD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Y2EyOTVhYzRhNmFkYTJjNjE3NzNjZGEyMjliZTAifQ=="/>
  </w:docVars>
  <w:rsids>
    <w:rsidRoot w:val="00000000"/>
    <w:rsid w:val="0A16130F"/>
    <w:rsid w:val="14066C5E"/>
    <w:rsid w:val="264D4DE5"/>
    <w:rsid w:val="2B01520C"/>
    <w:rsid w:val="38716FBC"/>
    <w:rsid w:val="3B7346FF"/>
    <w:rsid w:val="3E8756F8"/>
    <w:rsid w:val="42D95B66"/>
    <w:rsid w:val="44840F1C"/>
    <w:rsid w:val="475908A0"/>
    <w:rsid w:val="49FB5243"/>
    <w:rsid w:val="4F9B038E"/>
    <w:rsid w:val="557B0852"/>
    <w:rsid w:val="5841533E"/>
    <w:rsid w:val="5AA961BD"/>
    <w:rsid w:val="5ADE09E0"/>
    <w:rsid w:val="5C40076E"/>
    <w:rsid w:val="623D26D8"/>
    <w:rsid w:val="64E1790F"/>
    <w:rsid w:val="67D10C3D"/>
    <w:rsid w:val="680B659B"/>
    <w:rsid w:val="698718B2"/>
    <w:rsid w:val="6A914ED2"/>
    <w:rsid w:val="6EC304C5"/>
    <w:rsid w:val="6FB759AF"/>
    <w:rsid w:val="71C92AE5"/>
    <w:rsid w:val="77847C7C"/>
    <w:rsid w:val="780350F4"/>
    <w:rsid w:val="782252CE"/>
    <w:rsid w:val="7C5304F3"/>
    <w:rsid w:val="7DA4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qFormat/>
    <w:uiPriority w:val="0"/>
    <w:rPr>
      <w:rFonts w:ascii="Calibri" w:hAnsi="Calibri" w:cs="Calibri"/>
      <w:color w:val="000000"/>
      <w:sz w:val="20"/>
      <w:szCs w:val="20"/>
      <w:u w:val="none"/>
    </w:rPr>
  </w:style>
  <w:style w:type="paragraph" w:styleId="10">
    <w:name w:val="List Paragraph"/>
    <w:basedOn w:val="1"/>
    <w:qFormat/>
    <w:uiPriority w:val="34"/>
    <w:pPr>
      <w:ind w:firstLine="420" w:firstLineChars="200"/>
    </w:pPr>
    <w:rPr>
      <w:szCs w:val="22"/>
    </w:rPr>
  </w:style>
  <w:style w:type="paragraph" w:customStyle="1" w:styleId="11">
    <w:name w:val="Table Paragraph"/>
    <w:basedOn w:val="1"/>
    <w:qFormat/>
    <w:uiPriority w:val="0"/>
    <w:rPr>
      <w:rFonts w:ascii="宋体" w:hAnsi="宋体" w:cs="宋体"/>
      <w:lang w:val="zh-CN" w:bidi="zh-CN"/>
    </w:rPr>
  </w:style>
  <w:style w:type="character" w:customStyle="1" w:styleId="12">
    <w:name w:val="页眉 Char"/>
    <w:basedOn w:val="8"/>
    <w:link w:val="4"/>
    <w:qFormat/>
    <w:uiPriority w:val="99"/>
    <w:rPr>
      <w:kern w:val="2"/>
      <w:sz w:val="18"/>
      <w:szCs w:val="18"/>
    </w:rPr>
  </w:style>
  <w:style w:type="character" w:customStyle="1" w:styleId="13">
    <w:name w:val="页脚 Char"/>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D0260-E75B-49F5-8349-52A1FFA00606}">
  <ds:schemaRefs/>
</ds:datastoreItem>
</file>

<file path=docProps/app.xml><?xml version="1.0" encoding="utf-8"?>
<Properties xmlns="http://schemas.openxmlformats.org/officeDocument/2006/extended-properties" xmlns:vt="http://schemas.openxmlformats.org/officeDocument/2006/docPropsVTypes">
  <Template>Normal</Template>
  <Pages>5</Pages>
  <Words>2799</Words>
  <Characters>2989</Characters>
  <Paragraphs>386</Paragraphs>
  <TotalTime>40</TotalTime>
  <ScaleCrop>false</ScaleCrop>
  <LinksUpToDate>false</LinksUpToDate>
  <CharactersWithSpaces>3153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2024-06-28T07:03:00Z</dcterms:created>
  <dc:creator>user3</dc:creator>
  <cp:lastModifiedBy>Administrator</cp:lastModifiedBy>
  <cp:lastPrinted>2024-07-30T02:08:00Z</cp:lastPrinted>
  <dcterms:modified xsi:type="dcterms:W3CDTF">2024-11-11T08:16:46Z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2BFA58794E934B4CB22D17D4D46D21B8_13</vt:lpwstr>
  </property>
</Properties>
</file>