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782"/>
        <w:gridCol w:w="1221"/>
        <w:gridCol w:w="1221"/>
        <w:gridCol w:w="916"/>
        <w:gridCol w:w="1526"/>
        <w:gridCol w:w="9"/>
        <w:gridCol w:w="755"/>
        <w:gridCol w:w="916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eastAsia="zh-CN"/>
              </w:rPr>
              <w:t>景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eastAsia="zh-CN"/>
              </w:rPr>
              <w:t>区</w:t>
            </w: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金阳路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陈大郢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北瑶岗小可塘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54.30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义和路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红光村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义和景观塘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53.65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89.42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16.80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15.95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竹塘社区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小竹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51.50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85.83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三官社区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9.45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三官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84.62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山王社区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山王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84.42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合青路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明教村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7.15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白龙社区塘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50.50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84.17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岱山湖景区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13.65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塘庄社区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8.90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广兴塘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58.40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广响路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前后张村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肖圩大塘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50.15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46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西大路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16.95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陂塘社区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西山驿河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50.10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3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15.30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民兵村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民兵村塘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景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区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59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15.70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军王村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南钟村塘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49.90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众牌路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大高村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7.45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陈吴段塘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9.90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49.80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原合马路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瑶岗纪念馆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河滨村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9.60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振兴社区塘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57.30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14.10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俞庙村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9.40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小陆塘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49.35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17.55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同合村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龙城塘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49.20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13.85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白马村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洼地吴塘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9.90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49.25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14.10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响导社区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7.60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黄湖村塘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49.20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范同路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15.55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红堂村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胜利村塘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48.55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合白路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14.90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12.80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三合村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路集河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9.65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46.90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78.17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曙光村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lang w:eastAsia="zh-CN"/>
              </w:rPr>
              <w:t>梁牌路塘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45.70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76.17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本月媒体宣传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马湖乡《合肥日报》1篇，加0.2分；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石塘镇镇《合肥日报》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1篇，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0.2分；撮镇镇《安徽日报》1篇加0.4分；古城镇《合肥日报》1篇，加0.2分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pgNumType w:fmt="numberInDash"/>
          <w:cols w:space="720" w:num="1"/>
          <w:docGrid w:linePitch="584" w:charSpace="-849"/>
        </w:sect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14E0"/>
    <w:rsid w:val="7EB21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2017-09-08T01:49:00Z</dcterms:created>
  <dc:creator>Administrator</dc:creator>
  <cp:lastModifiedBy>Administrator</cp:lastModifiedBy>
  <dcterms:modified xsi:type="dcterms:W3CDTF">2017-09-08T01:49:55Z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