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EC7E8">
      <w:pPr>
        <w:widowControl/>
        <w:shd w:val="clear" w:color="auto" w:fill="FFFFFF"/>
        <w:jc w:val="left"/>
        <w:rPr>
          <w:rFonts w:hint="eastAsia" w:ascii="微软雅黑" w:hAnsi="微软雅黑" w:eastAsia="微软雅黑" w:cs="宋体"/>
          <w:color w:val="555555"/>
          <w:kern w:val="0"/>
          <w:sz w:val="24"/>
        </w:rPr>
      </w:pPr>
      <w:r>
        <w:rPr>
          <w:rFonts w:hint="eastAsia" w:ascii="微软雅黑" w:hAnsi="微软雅黑" w:eastAsia="微软雅黑" w:cs="宋体"/>
          <w:color w:val="555555"/>
          <w:kern w:val="0"/>
          <w:sz w:val="24"/>
          <w:lang w:eastAsia="zh-CN"/>
        </w:rPr>
        <w:t>附件：</w:t>
      </w:r>
      <w:r>
        <w:rPr>
          <w:rFonts w:hint="eastAsia" w:ascii="微软雅黑" w:hAnsi="微软雅黑" w:eastAsia="微软雅黑" w:cs="宋体"/>
          <w:color w:val="555555"/>
          <w:kern w:val="0"/>
          <w:sz w:val="24"/>
        </w:rPr>
        <w:t> </w:t>
      </w:r>
    </w:p>
    <w:p w14:paraId="7A63F8A6">
      <w:pPr>
        <w:widowControl/>
        <w:shd w:val="clear" w:color="auto" w:fill="FFFFFF"/>
        <w:jc w:val="center"/>
        <w:rPr>
          <w:rFonts w:hint="eastAsia" w:ascii="微软雅黑" w:hAnsi="微软雅黑" w:eastAsia="微软雅黑" w:cs="微软雅黑"/>
          <w:b/>
          <w:color w:val="555555"/>
          <w:kern w:val="0"/>
          <w:sz w:val="36"/>
          <w:szCs w:val="36"/>
          <w:shd w:val="clear" w:color="auto" w:fill="FFFFFF"/>
          <w:lang w:val="en-US" w:eastAsia="zh-CN"/>
        </w:rPr>
      </w:pPr>
      <w:r>
        <w:rPr>
          <w:rFonts w:hint="eastAsia" w:ascii="微软雅黑" w:hAnsi="微软雅黑" w:eastAsia="微软雅黑" w:cs="微软雅黑"/>
          <w:b/>
          <w:color w:val="555555"/>
          <w:kern w:val="0"/>
          <w:sz w:val="36"/>
          <w:szCs w:val="36"/>
          <w:shd w:val="clear" w:color="auto" w:fill="FFFFFF"/>
          <w:lang w:eastAsia="zh-CN"/>
        </w:rPr>
        <w:t>创建“中华诗词之县”诗教汇报演出</w:t>
      </w:r>
      <w:r>
        <w:rPr>
          <w:rFonts w:hint="eastAsia" w:ascii="微软雅黑" w:hAnsi="微软雅黑" w:eastAsia="微软雅黑" w:cs="微软雅黑"/>
          <w:b/>
          <w:color w:val="555555"/>
          <w:kern w:val="0"/>
          <w:sz w:val="36"/>
          <w:szCs w:val="36"/>
          <w:shd w:val="clear" w:color="auto" w:fill="FFFFFF"/>
          <w:lang w:val="en-US" w:eastAsia="zh-CN"/>
        </w:rPr>
        <w:t>活动</w:t>
      </w:r>
    </w:p>
    <w:p w14:paraId="37427DD5">
      <w:pPr>
        <w:widowControl/>
        <w:shd w:val="clear" w:color="auto" w:fill="FFFFFF"/>
        <w:jc w:val="center"/>
        <w:rPr>
          <w:rFonts w:hint="eastAsia" w:ascii="微软雅黑" w:hAnsi="微软雅黑" w:eastAsia="微软雅黑" w:cs="微软雅黑"/>
          <w:b/>
          <w:color w:val="555555"/>
          <w:kern w:val="0"/>
          <w:sz w:val="36"/>
          <w:szCs w:val="36"/>
          <w:shd w:val="clear" w:color="auto" w:fill="FFFFFF"/>
        </w:rPr>
      </w:pPr>
      <w:r>
        <w:rPr>
          <w:rFonts w:hint="eastAsia" w:ascii="微软雅黑" w:hAnsi="微软雅黑" w:eastAsia="微软雅黑" w:cs="微软雅黑"/>
          <w:b/>
          <w:color w:val="555555"/>
          <w:kern w:val="0"/>
          <w:sz w:val="36"/>
          <w:szCs w:val="36"/>
          <w:shd w:val="clear" w:color="auto" w:fill="FFFFFF"/>
          <w:lang w:val="en-US" w:eastAsia="zh-CN"/>
        </w:rPr>
        <w:t>采购</w:t>
      </w:r>
      <w:r>
        <w:rPr>
          <w:rFonts w:hint="eastAsia" w:ascii="微软雅黑" w:hAnsi="微软雅黑" w:eastAsia="微软雅黑" w:cs="微软雅黑"/>
          <w:b/>
          <w:color w:val="555555"/>
          <w:kern w:val="0"/>
          <w:sz w:val="36"/>
          <w:szCs w:val="36"/>
          <w:shd w:val="clear" w:color="auto" w:fill="FFFFFF"/>
        </w:rPr>
        <w:t>询价函</w:t>
      </w:r>
    </w:p>
    <w:tbl>
      <w:tblPr>
        <w:tblStyle w:val="6"/>
        <w:tblW w:w="1004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935"/>
        <w:gridCol w:w="2629"/>
        <w:gridCol w:w="1144"/>
        <w:gridCol w:w="1441"/>
        <w:gridCol w:w="2897"/>
      </w:tblGrid>
      <w:tr w14:paraId="27CDFD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935" w:type="dxa"/>
            <w:tcBorders>
              <w:top w:val="single" w:color="auto" w:sz="8" w:space="0"/>
              <w:left w:val="single" w:color="auto" w:sz="8" w:space="0"/>
              <w:bottom w:val="single" w:color="auto" w:sz="8" w:space="0"/>
              <w:right w:val="single" w:color="auto" w:sz="8" w:space="0"/>
            </w:tcBorders>
            <w:shd w:val="clear" w:color="auto" w:fill="FFFFFF"/>
          </w:tcPr>
          <w:p w14:paraId="38B5AC9A">
            <w:pPr>
              <w:widowControl/>
              <w:jc w:val="center"/>
              <w:rPr>
                <w:rFonts w:ascii="宋体" w:hAnsi="宋体" w:eastAsia="宋体" w:cs="宋体"/>
                <w:b/>
                <w:color w:val="000000" w:themeColor="text1"/>
                <w:kern w:val="0"/>
                <w:sz w:val="40"/>
                <w:szCs w:val="40"/>
                <w:shd w:val="clear" w:color="auto" w:fill="auto"/>
                <w14:textFill>
                  <w14:solidFill>
                    <w14:schemeClr w14:val="tx1"/>
                  </w14:solidFill>
                </w14:textFill>
              </w:rPr>
            </w:pPr>
          </w:p>
        </w:tc>
        <w:tc>
          <w:tcPr>
            <w:tcW w:w="8111"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22A43932">
            <w:pPr>
              <w:widowControl/>
              <w:jc w:val="center"/>
              <w:rPr>
                <w:color w:val="000000" w:themeColor="text1"/>
                <w:shd w:val="clear" w:color="auto" w:fill="auto"/>
                <w14:textFill>
                  <w14:solidFill>
                    <w14:schemeClr w14:val="tx1"/>
                  </w14:solidFill>
                </w14:textFill>
              </w:rPr>
            </w:pPr>
            <w:r>
              <w:rPr>
                <w:rFonts w:hint="eastAsia" w:ascii="宋体" w:hAnsi="宋体" w:eastAsia="宋体" w:cs="宋体"/>
                <w:b/>
                <w:color w:val="000000" w:themeColor="text1"/>
                <w:kern w:val="0"/>
                <w:sz w:val="40"/>
                <w:szCs w:val="40"/>
                <w:shd w:val="clear" w:color="auto" w:fill="auto"/>
                <w14:textFill>
                  <w14:solidFill>
                    <w14:schemeClr w14:val="tx1"/>
                  </w14:solidFill>
                </w14:textFill>
              </w:rPr>
              <w:t>项目采购询价函</w:t>
            </w:r>
          </w:p>
        </w:tc>
      </w:tr>
      <w:tr w14:paraId="422F7B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1" w:hRule="atLeast"/>
          <w:jc w:val="center"/>
        </w:trPr>
        <w:tc>
          <w:tcPr>
            <w:tcW w:w="1935" w:type="dxa"/>
            <w:tcBorders>
              <w:top w:val="single" w:color="auto" w:sz="8" w:space="0"/>
              <w:left w:val="single" w:color="auto" w:sz="8" w:space="0"/>
              <w:bottom w:val="single" w:color="auto" w:sz="8" w:space="0"/>
              <w:right w:val="single" w:color="auto" w:sz="8" w:space="0"/>
            </w:tcBorders>
            <w:shd w:val="clear" w:color="auto" w:fill="FFFFFF"/>
          </w:tcPr>
          <w:p w14:paraId="1AC0A2A0">
            <w:pPr>
              <w:widowControl/>
              <w:jc w:val="center"/>
              <w:rPr>
                <w:rFonts w:hint="eastAsia" w:ascii="微软雅黑" w:hAnsi="微软雅黑" w:eastAsia="微软雅黑" w:cs="微软雅黑"/>
                <w:color w:val="000000" w:themeColor="text1"/>
                <w:kern w:val="0"/>
                <w:sz w:val="24"/>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项目内容</w:t>
            </w:r>
          </w:p>
        </w:tc>
        <w:tc>
          <w:tcPr>
            <w:tcW w:w="8111"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4EE56C46">
            <w:pPr>
              <w:widowControl/>
              <w:jc w:val="both"/>
              <w:rPr>
                <w:rFonts w:hint="eastAsia" w:ascii="微软雅黑" w:hAnsi="微软雅黑" w:eastAsia="微软雅黑" w:cs="微软雅黑"/>
                <w:color w:val="000000" w:themeColor="text1"/>
                <w:kern w:val="0"/>
                <w:sz w:val="24"/>
                <w:shd w:val="clear" w:color="auto" w:fill="auto"/>
                <w14:textFill>
                  <w14:solidFill>
                    <w14:schemeClr w14:val="tx1"/>
                  </w14:solidFill>
                </w14:textFill>
              </w:rPr>
            </w:pPr>
          </w:p>
        </w:tc>
      </w:tr>
      <w:tr w14:paraId="14A401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89" w:hRule="atLeast"/>
          <w:jc w:val="center"/>
        </w:trPr>
        <w:tc>
          <w:tcPr>
            <w:tcW w:w="19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3516D2E">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 报价供应商</w:t>
            </w:r>
          </w:p>
          <w:p w14:paraId="105838D5">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（盖章）</w:t>
            </w:r>
          </w:p>
        </w:tc>
        <w:tc>
          <w:tcPr>
            <w:tcW w:w="377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7A1E6109">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p>
        </w:tc>
        <w:tc>
          <w:tcPr>
            <w:tcW w:w="144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F30F403">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联系人</w:t>
            </w:r>
          </w:p>
        </w:tc>
        <w:tc>
          <w:tcPr>
            <w:tcW w:w="289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C62F724">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p>
        </w:tc>
      </w:tr>
      <w:tr w14:paraId="2B308E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58" w:hRule="atLeast"/>
          <w:jc w:val="center"/>
        </w:trPr>
        <w:tc>
          <w:tcPr>
            <w:tcW w:w="19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7025E8">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供应商地址</w:t>
            </w:r>
          </w:p>
        </w:tc>
        <w:tc>
          <w:tcPr>
            <w:tcW w:w="377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3CEADEC3">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p>
        </w:tc>
        <w:tc>
          <w:tcPr>
            <w:tcW w:w="144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568C95E">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联系电话</w:t>
            </w:r>
          </w:p>
        </w:tc>
        <w:tc>
          <w:tcPr>
            <w:tcW w:w="289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F7DC168">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p>
        </w:tc>
      </w:tr>
      <w:tr w14:paraId="21A7B0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935"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5DFCBB33">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项目</w:t>
            </w:r>
          </w:p>
        </w:tc>
        <w:tc>
          <w:tcPr>
            <w:tcW w:w="2629"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3C099DE0">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名称</w:t>
            </w:r>
          </w:p>
        </w:tc>
        <w:tc>
          <w:tcPr>
            <w:tcW w:w="1144" w:type="dxa"/>
            <w:tcBorders>
              <w:top w:val="single" w:color="auto" w:sz="8" w:space="0"/>
              <w:left w:val="single" w:color="auto" w:sz="8" w:space="0"/>
              <w:bottom w:val="single" w:color="auto" w:sz="8" w:space="0"/>
              <w:right w:val="single" w:color="auto" w:sz="8" w:space="0"/>
            </w:tcBorders>
            <w:shd w:val="clear" w:color="auto" w:fill="FFFFFF"/>
          </w:tcPr>
          <w:p w14:paraId="077FF4B4">
            <w:pPr>
              <w:widowControl/>
              <w:jc w:val="center"/>
              <w:rPr>
                <w:rFonts w:hint="eastAsia" w:ascii="微软雅黑" w:hAnsi="微软雅黑" w:eastAsia="微软雅黑" w:cs="微软雅黑"/>
                <w:color w:val="000000" w:themeColor="text1"/>
                <w:kern w:val="0"/>
                <w:sz w:val="24"/>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数量</w:t>
            </w:r>
          </w:p>
        </w:tc>
        <w:tc>
          <w:tcPr>
            <w:tcW w:w="144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50A99A6">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金额</w:t>
            </w: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（元）</w:t>
            </w:r>
          </w:p>
        </w:tc>
        <w:tc>
          <w:tcPr>
            <w:tcW w:w="289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AACB9AD">
            <w:pPr>
              <w:widowControl/>
              <w:jc w:val="center"/>
              <w:rPr>
                <w:rFonts w:hint="eastAsia" w:ascii="微软雅黑" w:hAnsi="微软雅黑" w:eastAsia="微软雅黑" w:cs="微软雅黑"/>
                <w:color w:val="000000" w:themeColor="text1"/>
                <w:kern w:val="0"/>
                <w:sz w:val="24"/>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备注</w:t>
            </w:r>
          </w:p>
        </w:tc>
      </w:tr>
      <w:tr w14:paraId="3831BC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21" w:hRule="exact"/>
          <w:jc w:val="center"/>
        </w:trPr>
        <w:tc>
          <w:tcPr>
            <w:tcW w:w="1935" w:type="dxa"/>
            <w:vMerge w:val="restart"/>
            <w:tcBorders>
              <w:top w:val="single" w:color="auto" w:sz="4" w:space="0"/>
              <w:left w:val="single" w:color="auto" w:sz="4" w:space="0"/>
              <w:right w:val="outset" w:color="auto" w:sz="8" w:space="0"/>
            </w:tcBorders>
            <w:shd w:val="clear" w:color="auto" w:fill="FFFFFF"/>
            <w:tcMar>
              <w:top w:w="0" w:type="dxa"/>
              <w:left w:w="0" w:type="dxa"/>
              <w:bottom w:w="0" w:type="dxa"/>
              <w:right w:w="0" w:type="dxa"/>
            </w:tcMar>
            <w:vAlign w:val="center"/>
          </w:tcPr>
          <w:p w14:paraId="07F93142">
            <w:pPr>
              <w:jc w:val="both"/>
              <w:rPr>
                <w:rFonts w:ascii="微软雅黑" w:hAnsi="微软雅黑" w:eastAsia="微软雅黑" w:cs="微软雅黑"/>
                <w:color w:val="000000" w:themeColor="text1"/>
                <w:szCs w:val="21"/>
                <w:shd w:val="clear" w:color="auto" w:fill="auto"/>
                <w14:textFill>
                  <w14:solidFill>
                    <w14:schemeClr w14:val="tx1"/>
                  </w14:solidFill>
                </w14:textFill>
              </w:rPr>
            </w:pPr>
            <w:r>
              <w:rPr>
                <w:rFonts w:hint="eastAsia" w:ascii="微软雅黑" w:hAnsi="微软雅黑" w:eastAsia="微软雅黑" w:cs="微软雅黑"/>
                <w:b/>
                <w:bCs/>
                <w:color w:val="000000" w:themeColor="text1"/>
                <w:szCs w:val="21"/>
                <w:shd w:val="clear" w:color="auto" w:fill="auto"/>
                <w14:textFill>
                  <w14:solidFill>
                    <w14:schemeClr w14:val="tx1"/>
                  </w14:solidFill>
                </w14:textFill>
              </w:rPr>
              <w:t>创建“中华诗词之县”诗教汇报演出活动</w:t>
            </w:r>
          </w:p>
        </w:tc>
        <w:tc>
          <w:tcPr>
            <w:tcW w:w="2629" w:type="dxa"/>
            <w:tcBorders>
              <w:top w:val="single" w:color="auto" w:sz="4"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3E9BAE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kern w:val="0"/>
                <w:sz w:val="24"/>
                <w:szCs w:val="24"/>
                <w:shd w:val="clear" w:color="auto" w:fill="auto"/>
                <w14:textFill>
                  <w14:solidFill>
                    <w14:schemeClr w14:val="tx1"/>
                  </w14:solidFill>
                </w14:textFill>
              </w:rPr>
            </w:pPr>
            <w:r>
              <w:rPr>
                <w:rFonts w:hint="eastAsia" w:ascii="仿宋" w:hAnsi="仿宋" w:eastAsia="仿宋" w:cs="仿宋"/>
                <w:sz w:val="24"/>
                <w:szCs w:val="24"/>
                <w:lang w:eastAsia="zh-CN"/>
              </w:rPr>
              <w:t>导演</w:t>
            </w:r>
          </w:p>
        </w:tc>
        <w:tc>
          <w:tcPr>
            <w:tcW w:w="1144" w:type="dxa"/>
            <w:tcBorders>
              <w:top w:val="single" w:color="auto" w:sz="8" w:space="0"/>
              <w:left w:val="single" w:color="auto" w:sz="4" w:space="0"/>
              <w:bottom w:val="single" w:color="auto" w:sz="8" w:space="0"/>
              <w:right w:val="single" w:color="auto" w:sz="8" w:space="0"/>
            </w:tcBorders>
            <w:shd w:val="clear" w:color="auto" w:fill="FFFFFF"/>
            <w:vAlign w:val="center"/>
          </w:tcPr>
          <w:p w14:paraId="76B71C5D">
            <w:pPr>
              <w:widowControl/>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2天</w:t>
            </w:r>
          </w:p>
        </w:tc>
        <w:tc>
          <w:tcPr>
            <w:tcW w:w="144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796FF29">
            <w:pPr>
              <w:widowControl/>
              <w:jc w:val="center"/>
              <w:rPr>
                <w:rFonts w:hint="eastAsia" w:ascii="宋体" w:hAnsi="宋体" w:eastAsia="宋体" w:cs="宋体"/>
                <w:i w:val="0"/>
                <w:iCs w:val="0"/>
                <w:color w:val="000000"/>
                <w:sz w:val="24"/>
                <w:szCs w:val="24"/>
                <w:u w:val="none"/>
                <w:lang w:val="en-US" w:eastAsia="zh-CN"/>
              </w:rPr>
            </w:pPr>
          </w:p>
        </w:tc>
        <w:tc>
          <w:tcPr>
            <w:tcW w:w="289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55527E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olor w:val="000000"/>
                <w:sz w:val="24"/>
                <w:szCs w:val="24"/>
                <w:u w:val="none"/>
                <w:lang w:val="en-US" w:eastAsia="zh-CN"/>
              </w:rPr>
            </w:pPr>
            <w:r>
              <w:rPr>
                <w:rFonts w:hint="eastAsia" w:ascii="仿宋" w:hAnsi="仿宋" w:eastAsia="仿宋" w:cs="仿宋"/>
                <w:sz w:val="24"/>
                <w:szCs w:val="24"/>
              </w:rPr>
              <w:t>省级专家编导一名、助理一名（2天时间）。</w:t>
            </w:r>
          </w:p>
        </w:tc>
      </w:tr>
      <w:tr w14:paraId="29086B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exact"/>
          <w:jc w:val="center"/>
        </w:trPr>
        <w:tc>
          <w:tcPr>
            <w:tcW w:w="1935" w:type="dxa"/>
            <w:vMerge w:val="continue"/>
            <w:tcBorders>
              <w:left w:val="single" w:color="auto" w:sz="4" w:space="0"/>
              <w:right w:val="outset" w:color="auto" w:sz="8" w:space="0"/>
            </w:tcBorders>
            <w:shd w:val="clear" w:color="auto" w:fill="FFFFFF"/>
            <w:tcMar>
              <w:top w:w="0" w:type="dxa"/>
              <w:left w:w="0" w:type="dxa"/>
              <w:bottom w:w="0" w:type="dxa"/>
              <w:right w:w="0" w:type="dxa"/>
            </w:tcMar>
            <w:vAlign w:val="center"/>
          </w:tcPr>
          <w:p w14:paraId="32D8EB30">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629"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28A4C3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kern w:val="0"/>
                <w:sz w:val="24"/>
                <w:szCs w:val="24"/>
                <w:shd w:val="clear" w:color="auto" w:fill="auto"/>
                <w:lang w:eastAsia="zh-CN"/>
                <w14:textFill>
                  <w14:solidFill>
                    <w14:schemeClr w14:val="tx1"/>
                  </w14:solidFill>
                </w14:textFill>
              </w:rPr>
            </w:pPr>
            <w:r>
              <w:rPr>
                <w:rFonts w:hint="eastAsia" w:ascii="仿宋" w:hAnsi="仿宋" w:eastAsia="仿宋" w:cs="仿宋"/>
                <w:color w:val="auto"/>
                <w:sz w:val="24"/>
                <w:szCs w:val="24"/>
                <w:vertAlign w:val="baseline"/>
                <w:lang w:val="en-US" w:eastAsia="zh-CN"/>
              </w:rPr>
              <w:t>音响设备租赁</w:t>
            </w:r>
          </w:p>
        </w:tc>
        <w:tc>
          <w:tcPr>
            <w:tcW w:w="1144" w:type="dxa"/>
            <w:tcBorders>
              <w:top w:val="single" w:color="auto" w:sz="8" w:space="0"/>
              <w:left w:val="single" w:color="auto" w:sz="4" w:space="0"/>
              <w:bottom w:val="single" w:color="auto" w:sz="8" w:space="0"/>
              <w:right w:val="single" w:color="auto" w:sz="8" w:space="0"/>
            </w:tcBorders>
            <w:shd w:val="clear" w:color="auto" w:fill="FFFFFF"/>
            <w:vAlign w:val="center"/>
          </w:tcPr>
          <w:p w14:paraId="239CED41">
            <w:pPr>
              <w:widowControl/>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2天</w:t>
            </w:r>
          </w:p>
        </w:tc>
        <w:tc>
          <w:tcPr>
            <w:tcW w:w="144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94A2140">
            <w:pPr>
              <w:widowControl/>
              <w:jc w:val="center"/>
              <w:rPr>
                <w:rFonts w:hint="eastAsia" w:ascii="宋体" w:hAnsi="宋体" w:eastAsia="宋体" w:cs="宋体"/>
                <w:i w:val="0"/>
                <w:iCs w:val="0"/>
                <w:color w:val="000000"/>
                <w:sz w:val="24"/>
                <w:szCs w:val="24"/>
                <w:u w:val="none"/>
                <w:lang w:val="en-US" w:eastAsia="zh-CN"/>
              </w:rPr>
            </w:pPr>
          </w:p>
        </w:tc>
        <w:tc>
          <w:tcPr>
            <w:tcW w:w="289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DA88C8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cs="宋体"/>
                <w:i w:val="0"/>
                <w:iCs w:val="0"/>
                <w:color w:val="000000"/>
                <w:sz w:val="24"/>
                <w:szCs w:val="24"/>
                <w:u w:val="none"/>
                <w:lang w:val="en-US" w:eastAsia="zh-CN"/>
              </w:rPr>
            </w:pPr>
            <w:r>
              <w:rPr>
                <w:rFonts w:hint="eastAsia" w:ascii="仿宋" w:hAnsi="仿宋" w:eastAsia="仿宋" w:cs="仿宋"/>
                <w:color w:val="auto"/>
                <w:sz w:val="24"/>
                <w:szCs w:val="24"/>
                <w:vertAlign w:val="baseline"/>
                <w:lang w:val="en-US" w:eastAsia="zh-CN"/>
              </w:rPr>
              <w:t>音箱、话筒、小麦、混音器等设备及人员技术保障。</w:t>
            </w:r>
          </w:p>
        </w:tc>
      </w:tr>
      <w:tr w14:paraId="6F95AC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974" w:hRule="exact"/>
          <w:jc w:val="center"/>
        </w:trPr>
        <w:tc>
          <w:tcPr>
            <w:tcW w:w="1935" w:type="dxa"/>
            <w:vMerge w:val="continue"/>
            <w:tcBorders>
              <w:left w:val="single" w:color="auto" w:sz="4" w:space="0"/>
              <w:right w:val="outset" w:color="auto" w:sz="8" w:space="0"/>
            </w:tcBorders>
            <w:shd w:val="clear" w:color="auto" w:fill="FFFFFF"/>
            <w:tcMar>
              <w:top w:w="0" w:type="dxa"/>
              <w:left w:w="0" w:type="dxa"/>
              <w:bottom w:w="0" w:type="dxa"/>
              <w:right w:w="0" w:type="dxa"/>
            </w:tcMar>
            <w:vAlign w:val="center"/>
          </w:tcPr>
          <w:p w14:paraId="32D202D1">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629"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02DAD3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kern w:val="0"/>
                <w:sz w:val="24"/>
                <w:szCs w:val="24"/>
                <w:shd w:val="clear" w:color="auto" w:fill="auto"/>
                <w:lang w:eastAsia="zh-CN"/>
                <w14:textFill>
                  <w14:solidFill>
                    <w14:schemeClr w14:val="tx1"/>
                  </w14:solidFill>
                </w14:textFill>
              </w:rPr>
            </w:pPr>
            <w:r>
              <w:rPr>
                <w:rFonts w:hint="eastAsia" w:ascii="仿宋" w:hAnsi="仿宋" w:eastAsia="仿宋" w:cs="仿宋"/>
                <w:color w:val="auto"/>
                <w:sz w:val="24"/>
                <w:szCs w:val="24"/>
                <w:vertAlign w:val="baseline"/>
                <w:lang w:val="en-US" w:eastAsia="zh-CN"/>
              </w:rPr>
              <w:t>灯光设备</w:t>
            </w:r>
          </w:p>
        </w:tc>
        <w:tc>
          <w:tcPr>
            <w:tcW w:w="1144" w:type="dxa"/>
            <w:tcBorders>
              <w:top w:val="single" w:color="auto" w:sz="8" w:space="0"/>
              <w:left w:val="single" w:color="auto" w:sz="4" w:space="0"/>
              <w:bottom w:val="single" w:color="auto" w:sz="8" w:space="0"/>
              <w:right w:val="single" w:color="auto" w:sz="8" w:space="0"/>
            </w:tcBorders>
            <w:shd w:val="clear" w:color="auto" w:fill="FFFFFF"/>
            <w:vAlign w:val="center"/>
          </w:tcPr>
          <w:p w14:paraId="19F2F8CF">
            <w:pPr>
              <w:widowControl/>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2天</w:t>
            </w:r>
          </w:p>
        </w:tc>
        <w:tc>
          <w:tcPr>
            <w:tcW w:w="144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1ED855A">
            <w:pPr>
              <w:widowControl/>
              <w:jc w:val="center"/>
              <w:rPr>
                <w:rFonts w:hint="eastAsia" w:ascii="宋体" w:hAnsi="宋体" w:eastAsia="宋体" w:cs="宋体"/>
                <w:i w:val="0"/>
                <w:iCs w:val="0"/>
                <w:color w:val="000000"/>
                <w:sz w:val="24"/>
                <w:szCs w:val="24"/>
                <w:u w:val="none"/>
                <w:lang w:val="en-US" w:eastAsia="zh-CN"/>
              </w:rPr>
            </w:pPr>
          </w:p>
        </w:tc>
        <w:tc>
          <w:tcPr>
            <w:tcW w:w="289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B995C0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olor w:val="000000"/>
                <w:sz w:val="24"/>
                <w:szCs w:val="24"/>
                <w:u w:val="none"/>
                <w:lang w:val="en-US" w:eastAsia="zh-CN"/>
              </w:rPr>
            </w:pPr>
            <w:r>
              <w:rPr>
                <w:rFonts w:hint="eastAsia" w:ascii="仿宋" w:hAnsi="仿宋" w:eastAsia="仿宋" w:cs="仿宋"/>
                <w:color w:val="auto"/>
                <w:sz w:val="24"/>
                <w:szCs w:val="24"/>
                <w:vertAlign w:val="baseline"/>
                <w:lang w:val="en-US" w:eastAsia="zh-CN"/>
              </w:rPr>
              <w:t>含舞台灯光设计，各类舞台灯如聚光灯、摇头灯、补充面光灯、切换灯等舞台设备（包含安装、调试、使用以及不少于3名技术人员的服务，2天时间）。</w:t>
            </w:r>
          </w:p>
        </w:tc>
      </w:tr>
      <w:tr w14:paraId="7C2486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34" w:hRule="exact"/>
          <w:jc w:val="center"/>
        </w:trPr>
        <w:tc>
          <w:tcPr>
            <w:tcW w:w="1935" w:type="dxa"/>
            <w:vMerge w:val="continue"/>
            <w:tcBorders>
              <w:left w:val="single" w:color="auto" w:sz="4" w:space="0"/>
              <w:right w:val="outset" w:color="auto" w:sz="8" w:space="0"/>
            </w:tcBorders>
            <w:shd w:val="clear" w:color="auto" w:fill="FFFFFF"/>
            <w:tcMar>
              <w:top w:w="0" w:type="dxa"/>
              <w:left w:w="0" w:type="dxa"/>
              <w:bottom w:w="0" w:type="dxa"/>
              <w:right w:w="0" w:type="dxa"/>
            </w:tcMar>
            <w:vAlign w:val="center"/>
          </w:tcPr>
          <w:p w14:paraId="515DAC55">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629"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15EAA9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kern w:val="0"/>
                <w:sz w:val="24"/>
                <w:szCs w:val="24"/>
                <w:shd w:val="clear" w:color="auto" w:fill="auto"/>
                <w:lang w:val="en-US" w:eastAsia="zh-CN"/>
                <w14:textFill>
                  <w14:solidFill>
                    <w14:schemeClr w14:val="tx1"/>
                  </w14:solidFill>
                </w14:textFill>
              </w:rPr>
            </w:pPr>
            <w:r>
              <w:rPr>
                <w:rFonts w:hint="eastAsia" w:ascii="仿宋" w:hAnsi="仿宋" w:eastAsia="仿宋" w:cs="仿宋"/>
                <w:color w:val="auto"/>
                <w:sz w:val="24"/>
                <w:szCs w:val="24"/>
                <w:vertAlign w:val="baseline"/>
                <w:lang w:val="en-US" w:eastAsia="zh-CN"/>
              </w:rPr>
              <w:t>舞台干冰机2台</w:t>
            </w:r>
          </w:p>
        </w:tc>
        <w:tc>
          <w:tcPr>
            <w:tcW w:w="1144" w:type="dxa"/>
            <w:tcBorders>
              <w:top w:val="single" w:color="auto" w:sz="8" w:space="0"/>
              <w:left w:val="single" w:color="auto" w:sz="4" w:space="0"/>
              <w:bottom w:val="single" w:color="auto" w:sz="8" w:space="0"/>
              <w:right w:val="single" w:color="auto" w:sz="8" w:space="0"/>
            </w:tcBorders>
            <w:shd w:val="clear" w:color="auto" w:fill="FFFFFF"/>
            <w:vAlign w:val="center"/>
          </w:tcPr>
          <w:p w14:paraId="66F17414">
            <w:pPr>
              <w:widowControl/>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2天</w:t>
            </w:r>
          </w:p>
        </w:tc>
        <w:tc>
          <w:tcPr>
            <w:tcW w:w="144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4B890D0">
            <w:pPr>
              <w:widowControl/>
              <w:jc w:val="center"/>
              <w:rPr>
                <w:rFonts w:hint="eastAsia" w:ascii="宋体" w:hAnsi="宋体" w:eastAsia="宋体" w:cs="宋体"/>
                <w:i w:val="0"/>
                <w:iCs w:val="0"/>
                <w:color w:val="000000"/>
                <w:sz w:val="24"/>
                <w:szCs w:val="24"/>
                <w:u w:val="none"/>
                <w:lang w:val="en-US" w:eastAsia="zh-CN"/>
              </w:rPr>
            </w:pPr>
          </w:p>
        </w:tc>
        <w:tc>
          <w:tcPr>
            <w:tcW w:w="289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3F08BB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s="宋体"/>
                <w:i w:val="0"/>
                <w:iCs w:val="0"/>
                <w:color w:val="000000"/>
                <w:sz w:val="24"/>
                <w:szCs w:val="24"/>
                <w:u w:val="none"/>
                <w:lang w:val="en-US" w:eastAsia="zh-CN"/>
              </w:rPr>
            </w:pPr>
            <w:r>
              <w:rPr>
                <w:rFonts w:hint="eastAsia" w:ascii="仿宋" w:hAnsi="仿宋" w:eastAsia="仿宋" w:cs="仿宋"/>
                <w:color w:val="auto"/>
                <w:sz w:val="24"/>
                <w:szCs w:val="24"/>
                <w:vertAlign w:val="baseline"/>
                <w:lang w:val="en-US" w:eastAsia="zh-CN"/>
              </w:rPr>
              <w:t>含舞美设备租赁、使用以及2名技术人员的服务，2天时间）。</w:t>
            </w:r>
          </w:p>
        </w:tc>
      </w:tr>
      <w:tr w14:paraId="480C1A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20" w:hRule="exact"/>
          <w:jc w:val="center"/>
        </w:trPr>
        <w:tc>
          <w:tcPr>
            <w:tcW w:w="1935" w:type="dxa"/>
            <w:vMerge w:val="continue"/>
            <w:tcBorders>
              <w:left w:val="single" w:color="auto" w:sz="4" w:space="0"/>
              <w:right w:val="outset" w:color="auto" w:sz="8" w:space="0"/>
            </w:tcBorders>
            <w:shd w:val="clear" w:color="auto" w:fill="FFFFFF"/>
            <w:tcMar>
              <w:top w:w="0" w:type="dxa"/>
              <w:left w:w="0" w:type="dxa"/>
              <w:bottom w:w="0" w:type="dxa"/>
              <w:right w:w="0" w:type="dxa"/>
            </w:tcMar>
            <w:vAlign w:val="center"/>
          </w:tcPr>
          <w:p w14:paraId="7BF4AA92">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629"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76E024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kern w:val="0"/>
                <w:sz w:val="24"/>
                <w:szCs w:val="24"/>
                <w:shd w:val="clear" w:color="auto" w:fill="auto"/>
                <w:lang w:eastAsia="zh-CN"/>
                <w14:textFill>
                  <w14:solidFill>
                    <w14:schemeClr w14:val="tx1"/>
                  </w14:solidFill>
                </w14:textFill>
              </w:rPr>
            </w:pPr>
            <w:r>
              <w:rPr>
                <w:rFonts w:hint="eastAsia" w:ascii="仿宋" w:hAnsi="仿宋" w:eastAsia="仿宋" w:cs="仿宋"/>
                <w:color w:val="auto"/>
                <w:sz w:val="24"/>
                <w:szCs w:val="24"/>
                <w:vertAlign w:val="baseline"/>
                <w:lang w:val="en-US" w:eastAsia="zh-CN"/>
              </w:rPr>
              <w:t>节目字幕机</w:t>
            </w:r>
          </w:p>
        </w:tc>
        <w:tc>
          <w:tcPr>
            <w:tcW w:w="1144" w:type="dxa"/>
            <w:tcBorders>
              <w:top w:val="single" w:color="auto" w:sz="8" w:space="0"/>
              <w:left w:val="single" w:color="auto" w:sz="4" w:space="0"/>
              <w:bottom w:val="single" w:color="auto" w:sz="8" w:space="0"/>
              <w:right w:val="single" w:color="auto" w:sz="8" w:space="0"/>
            </w:tcBorders>
            <w:shd w:val="clear" w:color="auto" w:fill="FFFFFF"/>
            <w:vAlign w:val="center"/>
          </w:tcPr>
          <w:p w14:paraId="556D922A">
            <w:pPr>
              <w:widowControl/>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lang w:val="en-US" w:eastAsia="zh-CN"/>
              </w:rPr>
              <w:t>天</w:t>
            </w:r>
          </w:p>
        </w:tc>
        <w:tc>
          <w:tcPr>
            <w:tcW w:w="144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2307E3D">
            <w:pPr>
              <w:widowControl/>
              <w:jc w:val="center"/>
              <w:rPr>
                <w:rFonts w:hint="eastAsia" w:ascii="宋体" w:hAnsi="宋体" w:eastAsia="宋体" w:cs="宋体"/>
                <w:i w:val="0"/>
                <w:iCs w:val="0"/>
                <w:color w:val="000000"/>
                <w:sz w:val="24"/>
                <w:szCs w:val="24"/>
                <w:u w:val="none"/>
                <w:lang w:val="en-US" w:eastAsia="zh-CN"/>
              </w:rPr>
            </w:pPr>
          </w:p>
        </w:tc>
        <w:tc>
          <w:tcPr>
            <w:tcW w:w="289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4D1E31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s="宋体"/>
                <w:i w:val="0"/>
                <w:iCs w:val="0"/>
                <w:color w:val="000000"/>
                <w:sz w:val="24"/>
                <w:szCs w:val="24"/>
                <w:u w:val="none"/>
                <w:lang w:val="en-US" w:eastAsia="zh-CN"/>
              </w:rPr>
            </w:pPr>
            <w:r>
              <w:rPr>
                <w:rFonts w:hint="eastAsia" w:ascii="仿宋" w:hAnsi="仿宋" w:eastAsia="仿宋" w:cs="仿宋"/>
                <w:color w:val="auto"/>
                <w:sz w:val="24"/>
                <w:szCs w:val="24"/>
                <w:vertAlign w:val="baseline"/>
                <w:lang w:val="en-US" w:eastAsia="zh-CN"/>
              </w:rPr>
              <w:t>含设备租赁、使用以及2名技术人员的服务，2天时间）。</w:t>
            </w:r>
          </w:p>
        </w:tc>
      </w:tr>
      <w:tr w14:paraId="47F417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90" w:hRule="exact"/>
          <w:jc w:val="center"/>
        </w:trPr>
        <w:tc>
          <w:tcPr>
            <w:tcW w:w="1935" w:type="dxa"/>
            <w:vMerge w:val="continue"/>
            <w:tcBorders>
              <w:left w:val="single" w:color="auto" w:sz="4" w:space="0"/>
              <w:right w:val="outset" w:color="auto" w:sz="8" w:space="0"/>
            </w:tcBorders>
            <w:shd w:val="clear" w:color="auto" w:fill="FFFFFF"/>
            <w:tcMar>
              <w:top w:w="0" w:type="dxa"/>
              <w:left w:w="0" w:type="dxa"/>
              <w:bottom w:w="0" w:type="dxa"/>
              <w:right w:w="0" w:type="dxa"/>
            </w:tcMar>
            <w:vAlign w:val="center"/>
          </w:tcPr>
          <w:p w14:paraId="26737F13">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629"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2CD9FA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kern w:val="0"/>
                <w:sz w:val="24"/>
                <w:szCs w:val="24"/>
                <w:shd w:val="clear" w:color="auto" w:fill="auto"/>
                <w:lang w:eastAsia="zh-CN"/>
                <w14:textFill>
                  <w14:solidFill>
                    <w14:schemeClr w14:val="tx1"/>
                  </w14:solidFill>
                </w14:textFill>
              </w:rPr>
            </w:pPr>
            <w:r>
              <w:rPr>
                <w:rFonts w:hint="eastAsia" w:ascii="仿宋" w:hAnsi="仿宋" w:eastAsia="仿宋" w:cs="仿宋"/>
                <w:color w:val="auto"/>
                <w:sz w:val="24"/>
                <w:szCs w:val="24"/>
                <w:vertAlign w:val="baseline"/>
                <w:lang w:val="en-US" w:eastAsia="zh-CN"/>
              </w:rPr>
              <w:t>演职人员工作餐</w:t>
            </w:r>
          </w:p>
        </w:tc>
        <w:tc>
          <w:tcPr>
            <w:tcW w:w="1144" w:type="dxa"/>
            <w:tcBorders>
              <w:top w:val="single" w:color="auto" w:sz="8" w:space="0"/>
              <w:left w:val="single" w:color="auto" w:sz="4" w:space="0"/>
              <w:bottom w:val="single" w:color="auto" w:sz="8" w:space="0"/>
              <w:right w:val="single" w:color="auto" w:sz="8" w:space="0"/>
            </w:tcBorders>
            <w:shd w:val="clear" w:color="auto" w:fill="FFFFFF"/>
            <w:vAlign w:val="center"/>
          </w:tcPr>
          <w:p w14:paraId="0F62E349">
            <w:pPr>
              <w:widowControl/>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3餐</w:t>
            </w:r>
          </w:p>
        </w:tc>
        <w:tc>
          <w:tcPr>
            <w:tcW w:w="144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C0946AB">
            <w:pPr>
              <w:widowControl/>
              <w:jc w:val="center"/>
              <w:rPr>
                <w:rFonts w:hint="eastAsia" w:ascii="宋体" w:hAnsi="宋体" w:eastAsia="宋体" w:cs="宋体"/>
                <w:i w:val="0"/>
                <w:iCs w:val="0"/>
                <w:color w:val="000000"/>
                <w:sz w:val="24"/>
                <w:szCs w:val="24"/>
                <w:u w:val="none"/>
                <w:lang w:val="en-US" w:eastAsia="zh-CN"/>
              </w:rPr>
            </w:pPr>
          </w:p>
        </w:tc>
        <w:tc>
          <w:tcPr>
            <w:tcW w:w="289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7048EB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olor w:val="000000"/>
                <w:sz w:val="24"/>
                <w:szCs w:val="24"/>
                <w:u w:val="none"/>
                <w:lang w:val="en-US" w:eastAsia="zh-CN"/>
              </w:rPr>
            </w:pPr>
            <w:r>
              <w:rPr>
                <w:rFonts w:hint="eastAsia" w:ascii="仿宋" w:hAnsi="仿宋" w:eastAsia="仿宋" w:cs="仿宋"/>
                <w:color w:val="auto"/>
                <w:sz w:val="24"/>
                <w:szCs w:val="24"/>
                <w:vertAlign w:val="baseline"/>
                <w:lang w:val="en-US" w:eastAsia="zh-CN"/>
              </w:rPr>
              <w:t>150人*30元/餐，26号彩排联排、27号演出。</w:t>
            </w:r>
          </w:p>
        </w:tc>
      </w:tr>
      <w:tr w14:paraId="366552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12" w:hRule="exact"/>
          <w:jc w:val="center"/>
        </w:trPr>
        <w:tc>
          <w:tcPr>
            <w:tcW w:w="1935" w:type="dxa"/>
            <w:vMerge w:val="continue"/>
            <w:tcBorders>
              <w:left w:val="single" w:color="auto" w:sz="4" w:space="0"/>
              <w:bottom w:val="single" w:color="auto" w:sz="4" w:space="0"/>
              <w:right w:val="outset" w:color="auto" w:sz="8" w:space="0"/>
            </w:tcBorders>
            <w:shd w:val="clear" w:color="auto" w:fill="FFFFFF"/>
            <w:tcMar>
              <w:top w:w="0" w:type="dxa"/>
              <w:left w:w="0" w:type="dxa"/>
              <w:bottom w:w="0" w:type="dxa"/>
              <w:right w:w="0" w:type="dxa"/>
            </w:tcMar>
            <w:vAlign w:val="center"/>
          </w:tcPr>
          <w:p w14:paraId="193A2AB4">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629" w:type="dxa"/>
            <w:tcBorders>
              <w:top w:val="single" w:color="auto" w:sz="8" w:space="0"/>
              <w:left w:val="single" w:color="auto" w:sz="8" w:space="0"/>
              <w:bottom w:val="single" w:color="auto" w:sz="4" w:space="0"/>
              <w:right w:val="single" w:color="auto" w:sz="4" w:space="0"/>
            </w:tcBorders>
            <w:shd w:val="clear" w:color="auto" w:fill="FFFFFF"/>
            <w:tcMar>
              <w:top w:w="0" w:type="dxa"/>
              <w:left w:w="0" w:type="dxa"/>
              <w:bottom w:w="0" w:type="dxa"/>
              <w:right w:w="0" w:type="dxa"/>
            </w:tcMar>
            <w:vAlign w:val="center"/>
          </w:tcPr>
          <w:p w14:paraId="317CB2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kern w:val="0"/>
                <w:sz w:val="24"/>
                <w:szCs w:val="24"/>
                <w:shd w:val="clear" w:color="auto" w:fill="auto"/>
                <w14:textFill>
                  <w14:solidFill>
                    <w14:schemeClr w14:val="tx1"/>
                  </w14:solidFill>
                </w14:textFill>
              </w:rPr>
            </w:pPr>
            <w:r>
              <w:rPr>
                <w:rFonts w:hint="eastAsia" w:ascii="仿宋" w:hAnsi="仿宋" w:eastAsia="仿宋" w:cs="仿宋"/>
                <w:color w:val="auto"/>
                <w:sz w:val="24"/>
                <w:szCs w:val="24"/>
                <w:vertAlign w:val="baseline"/>
                <w:lang w:val="en-US" w:eastAsia="zh-CN"/>
              </w:rPr>
              <w:t>物料设计制作</w:t>
            </w:r>
          </w:p>
        </w:tc>
        <w:tc>
          <w:tcPr>
            <w:tcW w:w="1144" w:type="dxa"/>
            <w:tcBorders>
              <w:top w:val="single" w:color="auto" w:sz="8" w:space="0"/>
              <w:left w:val="single" w:color="auto" w:sz="4" w:space="0"/>
              <w:bottom w:val="single" w:color="auto" w:sz="8" w:space="0"/>
              <w:right w:val="single" w:color="auto" w:sz="8" w:space="0"/>
            </w:tcBorders>
            <w:shd w:val="clear" w:color="auto" w:fill="FFFFFF"/>
            <w:vAlign w:val="center"/>
          </w:tcPr>
          <w:p w14:paraId="73B8A5F0">
            <w:pPr>
              <w:widowControl/>
              <w:jc w:val="center"/>
              <w:rPr>
                <w:rFonts w:hint="eastAsia" w:ascii="宋体" w:hAnsi="宋体" w:eastAsia="宋体" w:cs="宋体"/>
                <w:i w:val="0"/>
                <w:iCs w:val="0"/>
                <w:color w:val="000000"/>
                <w:sz w:val="24"/>
                <w:szCs w:val="24"/>
                <w:u w:val="none"/>
                <w:lang w:val="en-US" w:eastAsia="zh-CN"/>
              </w:rPr>
            </w:pPr>
          </w:p>
        </w:tc>
        <w:tc>
          <w:tcPr>
            <w:tcW w:w="144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F56A3B0">
            <w:pPr>
              <w:widowControl/>
              <w:jc w:val="center"/>
              <w:rPr>
                <w:rFonts w:hint="eastAsia" w:ascii="宋体" w:hAnsi="宋体" w:eastAsia="宋体" w:cs="宋体"/>
                <w:i w:val="0"/>
                <w:iCs w:val="0"/>
                <w:color w:val="000000"/>
                <w:sz w:val="24"/>
                <w:szCs w:val="24"/>
                <w:u w:val="none"/>
                <w:lang w:val="en-US" w:eastAsia="zh-CN"/>
              </w:rPr>
            </w:pPr>
          </w:p>
        </w:tc>
        <w:tc>
          <w:tcPr>
            <w:tcW w:w="289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2FAF0F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olor w:val="000000"/>
                <w:sz w:val="24"/>
                <w:szCs w:val="24"/>
                <w:u w:val="none"/>
                <w:lang w:val="en-US" w:eastAsia="zh-CN"/>
              </w:rPr>
            </w:pPr>
            <w:r>
              <w:rPr>
                <w:rFonts w:hint="eastAsia" w:ascii="仿宋" w:hAnsi="仿宋" w:eastAsia="仿宋" w:cs="仿宋"/>
                <w:color w:val="auto"/>
                <w:sz w:val="24"/>
                <w:szCs w:val="24"/>
                <w:vertAlign w:val="baseline"/>
                <w:lang w:val="en-US" w:eastAsia="zh-CN"/>
              </w:rPr>
              <w:t>氛围营造桁架、节目单、画面设计、车辆通行证、邀请函、演出大屏背景。</w:t>
            </w:r>
          </w:p>
        </w:tc>
      </w:tr>
      <w:tr w14:paraId="4564B2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exact"/>
          <w:jc w:val="center"/>
        </w:trPr>
        <w:tc>
          <w:tcPr>
            <w:tcW w:w="1935" w:type="dxa"/>
            <w:vMerge w:val="continue"/>
            <w:tcBorders>
              <w:top w:val="single" w:color="auto" w:sz="4" w:space="0"/>
              <w:left w:val="single" w:color="auto" w:sz="4" w:space="0"/>
              <w:right w:val="outset" w:color="auto" w:sz="8" w:space="0"/>
            </w:tcBorders>
            <w:shd w:val="clear" w:color="auto" w:fill="FFFFFF"/>
            <w:tcMar>
              <w:top w:w="0" w:type="dxa"/>
              <w:left w:w="0" w:type="dxa"/>
              <w:bottom w:w="0" w:type="dxa"/>
              <w:right w:w="0" w:type="dxa"/>
            </w:tcMar>
            <w:vAlign w:val="center"/>
          </w:tcPr>
          <w:p w14:paraId="01BA2838">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629"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74862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其他</w:t>
            </w:r>
          </w:p>
        </w:tc>
        <w:tc>
          <w:tcPr>
            <w:tcW w:w="1144" w:type="dxa"/>
            <w:tcBorders>
              <w:top w:val="single" w:color="auto" w:sz="8" w:space="0"/>
              <w:left w:val="single" w:color="auto" w:sz="8" w:space="0"/>
              <w:bottom w:val="single" w:color="auto" w:sz="8" w:space="0"/>
              <w:right w:val="single" w:color="auto" w:sz="8" w:space="0"/>
            </w:tcBorders>
            <w:shd w:val="clear" w:color="auto" w:fill="FFFFFF"/>
            <w:vAlign w:val="center"/>
          </w:tcPr>
          <w:p w14:paraId="705CB8D3">
            <w:pPr>
              <w:widowControl/>
              <w:jc w:val="center"/>
              <w:rPr>
                <w:rFonts w:hint="eastAsia" w:ascii="宋体" w:hAnsi="宋体" w:eastAsia="宋体" w:cs="宋体"/>
                <w:i w:val="0"/>
                <w:iCs w:val="0"/>
                <w:color w:val="000000"/>
                <w:sz w:val="24"/>
                <w:szCs w:val="24"/>
                <w:u w:val="none"/>
                <w:lang w:val="en-US" w:eastAsia="zh-CN"/>
              </w:rPr>
            </w:pPr>
          </w:p>
        </w:tc>
        <w:tc>
          <w:tcPr>
            <w:tcW w:w="144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10DA2A2">
            <w:pPr>
              <w:widowControl/>
              <w:jc w:val="center"/>
              <w:rPr>
                <w:rFonts w:hint="eastAsia" w:ascii="宋体" w:hAnsi="宋体" w:eastAsia="宋体" w:cs="宋体"/>
                <w:i w:val="0"/>
                <w:iCs w:val="0"/>
                <w:color w:val="000000"/>
                <w:sz w:val="24"/>
                <w:szCs w:val="24"/>
                <w:u w:val="none"/>
                <w:lang w:val="en-US" w:eastAsia="zh-CN"/>
              </w:rPr>
            </w:pPr>
          </w:p>
        </w:tc>
        <w:tc>
          <w:tcPr>
            <w:tcW w:w="289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EE5643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i w:val="0"/>
                <w:iCs w:val="0"/>
                <w:color w:val="000000"/>
                <w:sz w:val="24"/>
                <w:szCs w:val="24"/>
                <w:u w:val="none"/>
                <w:lang w:val="en-US" w:eastAsia="zh-CN"/>
              </w:rPr>
            </w:pPr>
            <w:r>
              <w:rPr>
                <w:rFonts w:hint="eastAsia" w:ascii="仿宋" w:hAnsi="仿宋" w:eastAsia="仿宋" w:cs="仿宋"/>
                <w:color w:val="auto"/>
                <w:sz w:val="24"/>
                <w:szCs w:val="24"/>
                <w:vertAlign w:val="baseline"/>
                <w:lang w:val="en-US" w:eastAsia="zh-CN"/>
              </w:rPr>
              <w:t>运输、人工、税费等</w:t>
            </w:r>
          </w:p>
        </w:tc>
      </w:tr>
      <w:tr w14:paraId="2B8235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9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642BBD">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合计金额（含税）</w:t>
            </w:r>
          </w:p>
        </w:tc>
        <w:tc>
          <w:tcPr>
            <w:tcW w:w="8111" w:type="dxa"/>
            <w:gridSpan w:val="4"/>
            <w:tcBorders>
              <w:top w:val="single" w:color="auto" w:sz="8" w:space="0"/>
              <w:left w:val="single" w:color="auto" w:sz="8" w:space="0"/>
              <w:bottom w:val="single" w:color="auto" w:sz="8" w:space="0"/>
              <w:right w:val="single" w:color="auto" w:sz="8" w:space="0"/>
            </w:tcBorders>
            <w:shd w:val="clear" w:color="auto" w:fill="FFFFFF"/>
          </w:tcPr>
          <w:p w14:paraId="766B87B1">
            <w:pPr>
              <w:widowControl/>
              <w:ind w:firstLine="1920" w:firstLineChars="800"/>
              <w:rPr>
                <w:rFonts w:hint="default" w:eastAsia="微软雅黑"/>
                <w:color w:val="000000" w:themeColor="text1"/>
                <w:shd w:val="clear" w:color="auto" w:fill="auto"/>
                <w:lang w:val="en-US"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人民币</w:t>
            </w: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w:t>
            </w:r>
            <w:r>
              <w:rPr>
                <w:rFonts w:hint="eastAsia" w:ascii="微软雅黑" w:hAnsi="微软雅黑" w:eastAsia="微软雅黑" w:cs="微软雅黑"/>
                <w:color w:val="000000" w:themeColor="text1"/>
                <w:kern w:val="0"/>
                <w:sz w:val="24"/>
                <w:u w:val="single"/>
                <w:shd w:val="clear" w:color="auto" w:fill="auto"/>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0"/>
                <w:sz w:val="24"/>
                <w:u w:val="none"/>
                <w:shd w:val="clear" w:color="auto" w:fill="auto"/>
                <w:lang w:val="en-US" w:eastAsia="zh-CN"/>
                <w14:textFill>
                  <w14:solidFill>
                    <w14:schemeClr w14:val="tx1"/>
                  </w14:solidFill>
                </w14:textFill>
              </w:rPr>
              <w:t xml:space="preserve">元 </w:t>
            </w: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（大写</w:t>
            </w: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w:t>
            </w:r>
            <w:r>
              <w:rPr>
                <w:rFonts w:hint="eastAsia" w:ascii="微软雅黑" w:hAnsi="微软雅黑" w:eastAsia="微软雅黑" w:cs="微软雅黑"/>
                <w:color w:val="000000" w:themeColor="text1"/>
                <w:kern w:val="0"/>
                <w:sz w:val="24"/>
                <w:shd w:val="clear" w:color="auto" w:fill="auto"/>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w:t>
            </w:r>
          </w:p>
        </w:tc>
      </w:tr>
      <w:tr w14:paraId="605BCD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9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2F8007D">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服务时间</w:t>
            </w:r>
          </w:p>
        </w:tc>
        <w:tc>
          <w:tcPr>
            <w:tcW w:w="8111" w:type="dxa"/>
            <w:gridSpan w:val="4"/>
            <w:tcBorders>
              <w:top w:val="single" w:color="auto" w:sz="8" w:space="0"/>
              <w:left w:val="single" w:color="auto" w:sz="8" w:space="0"/>
              <w:bottom w:val="single" w:color="auto" w:sz="8" w:space="0"/>
              <w:right w:val="single" w:color="auto" w:sz="8" w:space="0"/>
            </w:tcBorders>
            <w:shd w:val="clear" w:color="auto" w:fill="FFFFFF"/>
          </w:tcPr>
          <w:p w14:paraId="3C0F8249">
            <w:pPr>
              <w:widowControl/>
              <w:jc w:val="center"/>
              <w:rPr>
                <w:rFonts w:hint="default" w:eastAsia="微软雅黑"/>
                <w:color w:val="000000" w:themeColor="text1"/>
                <w:shd w:val="clear" w:color="auto" w:fill="auto"/>
                <w:lang w:val="en-US" w:eastAsia="zh-CN"/>
                <w14:textFill>
                  <w14:solidFill>
                    <w14:schemeClr w14:val="tx1"/>
                  </w14:solidFill>
                </w14:textFill>
              </w:rPr>
            </w:pPr>
            <w:r>
              <w:rPr>
                <w:rFonts w:hint="eastAsia" w:ascii="微软雅黑" w:hAnsi="微软雅黑" w:eastAsia="微软雅黑" w:cs="微软雅黑"/>
                <w:color w:val="000000" w:themeColor="text1"/>
                <w:kern w:val="0"/>
                <w:sz w:val="24"/>
                <w:highlight w:val="yellow"/>
                <w:shd w:val="clear" w:color="auto" w:fill="auto"/>
                <w:lang w:val="en-US" w:eastAsia="zh-CN"/>
                <w14:textFill>
                  <w14:solidFill>
                    <w14:schemeClr w14:val="tx1"/>
                  </w14:solidFill>
                </w14:textFill>
              </w:rPr>
              <w:t>2025</w:t>
            </w:r>
            <w:r>
              <w:rPr>
                <w:rFonts w:hint="eastAsia" w:ascii="微软雅黑" w:hAnsi="微软雅黑" w:eastAsia="微软雅黑" w:cs="微软雅黑"/>
                <w:color w:val="000000" w:themeColor="text1"/>
                <w:kern w:val="0"/>
                <w:sz w:val="24"/>
                <w:highlight w:val="yellow"/>
                <w:shd w:val="clear" w:color="auto" w:fill="auto"/>
                <w14:textFill>
                  <w14:solidFill>
                    <w14:schemeClr w14:val="tx1"/>
                  </w14:solidFill>
                </w14:textFill>
              </w:rPr>
              <w:t>年</w:t>
            </w:r>
            <w:r>
              <w:rPr>
                <w:rFonts w:hint="eastAsia" w:ascii="微软雅黑" w:hAnsi="微软雅黑" w:eastAsia="微软雅黑" w:cs="微软雅黑"/>
                <w:color w:val="000000" w:themeColor="text1"/>
                <w:kern w:val="0"/>
                <w:sz w:val="24"/>
                <w:highlight w:val="yellow"/>
                <w:shd w:val="clear" w:color="auto" w:fill="auto"/>
                <w:lang w:val="en-US" w:eastAsia="zh-CN"/>
                <w14:textFill>
                  <w14:solidFill>
                    <w14:schemeClr w14:val="tx1"/>
                  </w14:solidFill>
                </w14:textFill>
              </w:rPr>
              <w:t>3月</w:t>
            </w:r>
          </w:p>
        </w:tc>
      </w:tr>
      <w:tr w14:paraId="56068F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1" w:hRule="atLeast"/>
          <w:jc w:val="center"/>
        </w:trPr>
        <w:tc>
          <w:tcPr>
            <w:tcW w:w="193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1E57EFD">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付款方式</w:t>
            </w:r>
          </w:p>
        </w:tc>
        <w:tc>
          <w:tcPr>
            <w:tcW w:w="8111"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14:paraId="37A43190">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活动完成后一次性支付。</w:t>
            </w:r>
          </w:p>
        </w:tc>
      </w:tr>
      <w:tr w14:paraId="01DB53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jc w:val="center"/>
        </w:trPr>
        <w:tc>
          <w:tcPr>
            <w:tcW w:w="10046"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63303DE">
            <w:pPr>
              <w:widowControl/>
              <w:numPr>
                <w:ilvl w:val="0"/>
                <w:numId w:val="0"/>
              </w:numPr>
              <w:spacing w:line="520" w:lineRule="exact"/>
              <w:ind w:firstLine="480" w:firstLineChars="200"/>
              <w:jc w:val="left"/>
              <w:rPr>
                <w:rFonts w:hint="default" w:ascii="微软雅黑" w:hAnsi="微软雅黑" w:eastAsia="微软雅黑" w:cs="微软雅黑"/>
                <w:color w:val="555555"/>
                <w:kern w:val="0"/>
                <w:sz w:val="24"/>
                <w:lang w:val="en-US"/>
              </w:rPr>
            </w:pPr>
            <w:r>
              <w:rPr>
                <w:rFonts w:hint="eastAsia" w:ascii="微软雅黑" w:hAnsi="微软雅黑" w:eastAsia="微软雅黑" w:cs="微软雅黑"/>
                <w:color w:val="555555"/>
                <w:kern w:val="0"/>
                <w:sz w:val="24"/>
                <w:lang w:eastAsia="zh-CN"/>
              </w:rPr>
              <w:t>一、项目简介</w:t>
            </w:r>
          </w:p>
          <w:p w14:paraId="03CEEE5C">
            <w:pPr>
              <w:widowControl/>
              <w:spacing w:line="520" w:lineRule="exact"/>
              <w:ind w:firstLine="480" w:firstLineChars="200"/>
              <w:jc w:val="left"/>
              <w:rPr>
                <w:rFonts w:hint="eastAsia" w:ascii="微软雅黑" w:hAnsi="微软雅黑" w:eastAsia="微软雅黑" w:cs="微软雅黑"/>
                <w:color w:val="0000FF"/>
                <w:kern w:val="0"/>
                <w:sz w:val="24"/>
                <w:lang w:val="en-US" w:eastAsia="zh-CN"/>
              </w:rPr>
            </w:pPr>
            <w:r>
              <w:rPr>
                <w:rFonts w:hint="eastAsia" w:ascii="微软雅黑" w:hAnsi="微软雅黑" w:eastAsia="微软雅黑" w:cs="微软雅黑"/>
                <w:color w:val="0000FF"/>
                <w:kern w:val="0"/>
                <w:sz w:val="24"/>
                <w:lang w:val="en-US" w:eastAsia="zh-CN"/>
              </w:rPr>
              <w:t>为迎接“中华诗词之县”考察验收，拟举办一场诗教汇报演出活动。</w:t>
            </w:r>
          </w:p>
          <w:p w14:paraId="67E538B3">
            <w:pPr>
              <w:widowControl/>
              <w:spacing w:line="520" w:lineRule="exact"/>
              <w:ind w:firstLine="480" w:firstLineChars="200"/>
              <w:jc w:val="left"/>
            </w:pPr>
            <w:r>
              <w:rPr>
                <w:rFonts w:hint="eastAsia" w:ascii="微软雅黑" w:hAnsi="微软雅黑" w:eastAsia="微软雅黑" w:cs="微软雅黑"/>
                <w:color w:val="555555"/>
                <w:kern w:val="0"/>
                <w:sz w:val="24"/>
                <w:lang w:eastAsia="zh-CN"/>
              </w:rPr>
              <w:t>二、</w:t>
            </w:r>
            <w:r>
              <w:rPr>
                <w:rFonts w:hint="eastAsia" w:ascii="微软雅黑" w:hAnsi="微软雅黑" w:eastAsia="微软雅黑" w:cs="微软雅黑"/>
                <w:color w:val="555555"/>
                <w:kern w:val="0"/>
                <w:sz w:val="24"/>
              </w:rPr>
              <w:t>资质要求</w:t>
            </w:r>
          </w:p>
          <w:p w14:paraId="018EC1BC">
            <w:pPr>
              <w:widowControl/>
              <w:spacing w:line="520" w:lineRule="exact"/>
              <w:ind w:left="389"/>
              <w:jc w:val="left"/>
            </w:pPr>
            <w:r>
              <w:rPr>
                <w:rFonts w:hint="eastAsia" w:ascii="微软雅黑" w:hAnsi="微软雅黑" w:eastAsia="微软雅黑" w:cs="微软雅黑"/>
                <w:color w:val="555555"/>
                <w:kern w:val="0"/>
                <w:sz w:val="24"/>
              </w:rPr>
              <w:t>1.符合《中华人民共和国政府采购法》第二十二条规定；</w:t>
            </w:r>
          </w:p>
          <w:p w14:paraId="71C66F4F">
            <w:pPr>
              <w:widowControl/>
              <w:spacing w:line="520" w:lineRule="exact"/>
              <w:ind w:left="389"/>
              <w:jc w:val="left"/>
            </w:pPr>
            <w:r>
              <w:rPr>
                <w:rFonts w:hint="eastAsia" w:ascii="微软雅黑" w:hAnsi="微软雅黑" w:eastAsia="微软雅黑" w:cs="微软雅黑"/>
                <w:color w:val="555555"/>
                <w:kern w:val="0"/>
                <w:sz w:val="24"/>
              </w:rPr>
              <w:t>2.本项目不接受联合体；</w:t>
            </w:r>
          </w:p>
          <w:p w14:paraId="601E21B6">
            <w:pPr>
              <w:widowControl/>
              <w:spacing w:line="520" w:lineRule="exact"/>
              <w:ind w:left="389"/>
              <w:jc w:val="left"/>
            </w:pPr>
            <w:r>
              <w:rPr>
                <w:rFonts w:hint="eastAsia" w:ascii="微软雅黑" w:hAnsi="微软雅黑" w:eastAsia="微软雅黑" w:cs="微软雅黑"/>
                <w:color w:val="555555"/>
                <w:kern w:val="0"/>
                <w:sz w:val="24"/>
              </w:rPr>
              <w:t>3.供应商存在以下不良信用记录情形之一的，不得推荐为成交候选供应商，不得确定为成交供应商：</w:t>
            </w:r>
          </w:p>
          <w:p w14:paraId="2A04BC28">
            <w:pPr>
              <w:widowControl/>
              <w:spacing w:line="520" w:lineRule="exact"/>
              <w:ind w:left="389"/>
              <w:jc w:val="left"/>
            </w:pPr>
            <w:r>
              <w:rPr>
                <w:rFonts w:hint="eastAsia" w:ascii="微软雅黑" w:hAnsi="微软雅黑" w:eastAsia="微软雅黑" w:cs="微软雅黑"/>
                <w:color w:val="555555"/>
                <w:kern w:val="0"/>
                <w:sz w:val="24"/>
              </w:rPr>
              <w:t>（1）供应商被人民法院列入失信被执行人的；</w:t>
            </w:r>
          </w:p>
          <w:p w14:paraId="2170FF54">
            <w:pPr>
              <w:widowControl/>
              <w:spacing w:line="520" w:lineRule="exact"/>
              <w:ind w:left="389"/>
              <w:jc w:val="left"/>
            </w:pPr>
            <w:r>
              <w:rPr>
                <w:rFonts w:hint="eastAsia" w:ascii="微软雅黑" w:hAnsi="微软雅黑" w:eastAsia="微软雅黑" w:cs="微软雅黑"/>
                <w:color w:val="555555"/>
                <w:kern w:val="0"/>
                <w:sz w:val="24"/>
              </w:rPr>
              <w:t>（2）供应商被工商行政管理部门列入严重违法失信企业名单的；</w:t>
            </w:r>
          </w:p>
          <w:p w14:paraId="3459CC2C">
            <w:pPr>
              <w:widowControl/>
              <w:spacing w:line="520" w:lineRule="exact"/>
              <w:ind w:left="389"/>
              <w:jc w:val="left"/>
            </w:pPr>
            <w:r>
              <w:rPr>
                <w:rFonts w:hint="eastAsia" w:ascii="微软雅黑" w:hAnsi="微软雅黑" w:eastAsia="微软雅黑" w:cs="微软雅黑"/>
                <w:color w:val="555555"/>
                <w:kern w:val="0"/>
                <w:sz w:val="24"/>
              </w:rPr>
              <w:t>（3）供应商被税务部门列入重大税收违法案件当事人名单的；</w:t>
            </w:r>
          </w:p>
          <w:p w14:paraId="0D0E83F6">
            <w:pPr>
              <w:widowControl/>
              <w:spacing w:line="520" w:lineRule="exact"/>
              <w:ind w:left="389"/>
              <w:jc w:val="left"/>
            </w:pPr>
            <w:r>
              <w:rPr>
                <w:rFonts w:hint="eastAsia" w:ascii="微软雅黑" w:hAnsi="微软雅黑" w:eastAsia="微软雅黑" w:cs="微软雅黑"/>
                <w:color w:val="555555"/>
                <w:kern w:val="0"/>
                <w:sz w:val="24"/>
              </w:rPr>
              <w:t>（4）供应商被政府采购监管部门列入政府采购严重违法失信行为记录名单的。</w:t>
            </w:r>
          </w:p>
          <w:p w14:paraId="6431F2C1">
            <w:pPr>
              <w:widowControl/>
              <w:spacing w:line="520" w:lineRule="exact"/>
              <w:ind w:left="389"/>
              <w:jc w:val="left"/>
            </w:pPr>
            <w:r>
              <w:rPr>
                <w:rFonts w:hint="eastAsia" w:ascii="微软雅黑" w:hAnsi="微软雅黑" w:eastAsia="微软雅黑" w:cs="微软雅黑"/>
                <w:color w:val="555555"/>
                <w:kern w:val="0"/>
                <w:sz w:val="24"/>
              </w:rPr>
              <w:t>供应商的信用状况以信用中国（http://www.creditchina.gov.cn/）和中国执行信息公开网（http://shixin.court.gov.cn/）查询为准。</w:t>
            </w:r>
          </w:p>
          <w:p w14:paraId="69B4E431">
            <w:pPr>
              <w:widowControl/>
              <w:spacing w:line="520" w:lineRule="exact"/>
              <w:ind w:left="389"/>
              <w:jc w:val="left"/>
              <w:rPr>
                <w:rFonts w:hint="eastAsia" w:ascii="微软雅黑" w:hAnsi="微软雅黑" w:eastAsia="微软雅黑" w:cs="微软雅黑"/>
                <w:color w:val="555555"/>
                <w:kern w:val="0"/>
                <w:sz w:val="24"/>
              </w:rPr>
            </w:pPr>
            <w:r>
              <w:rPr>
                <w:rFonts w:hint="eastAsia" w:ascii="微软雅黑" w:hAnsi="微软雅黑" w:eastAsia="微软雅黑" w:cs="微软雅黑"/>
                <w:color w:val="555555"/>
                <w:kern w:val="0"/>
                <w:sz w:val="24"/>
              </w:rPr>
              <w:t>4、</w:t>
            </w:r>
            <w:r>
              <w:rPr>
                <w:rFonts w:hint="eastAsia" w:ascii="微软雅黑" w:hAnsi="微软雅黑" w:eastAsia="微软雅黑" w:cs="微软雅黑"/>
                <w:b/>
                <w:bCs/>
                <w:color w:val="555555"/>
                <w:kern w:val="0"/>
                <w:sz w:val="24"/>
              </w:rPr>
              <w:t>供应商应具备</w:t>
            </w:r>
            <w:r>
              <w:rPr>
                <w:rFonts w:hint="eastAsia" w:ascii="微软雅黑" w:hAnsi="微软雅黑" w:eastAsia="微软雅黑" w:cs="微软雅黑"/>
                <w:b/>
                <w:bCs/>
                <w:color w:val="555555"/>
                <w:kern w:val="0"/>
                <w:sz w:val="24"/>
                <w:lang w:eastAsia="zh-CN"/>
              </w:rPr>
              <w:t>大型公共公益类活动组织</w:t>
            </w:r>
            <w:r>
              <w:rPr>
                <w:rFonts w:hint="eastAsia" w:ascii="微软雅黑" w:hAnsi="微软雅黑" w:eastAsia="微软雅黑" w:cs="微软雅黑"/>
                <w:b/>
                <w:bCs/>
                <w:color w:val="555555"/>
                <w:kern w:val="0"/>
                <w:sz w:val="24"/>
              </w:rPr>
              <w:t>资质</w:t>
            </w:r>
            <w:r>
              <w:rPr>
                <w:rFonts w:hint="eastAsia" w:ascii="微软雅黑" w:hAnsi="微软雅黑" w:eastAsia="微软雅黑" w:cs="微软雅黑"/>
                <w:b/>
                <w:bCs/>
                <w:color w:val="555555"/>
                <w:kern w:val="0"/>
                <w:sz w:val="24"/>
                <w:lang w:eastAsia="zh-CN"/>
              </w:rPr>
              <w:t>及</w:t>
            </w:r>
            <w:r>
              <w:rPr>
                <w:rFonts w:hint="eastAsia" w:ascii="微软雅黑" w:hAnsi="微软雅黑" w:eastAsia="微软雅黑" w:cs="微软雅黑"/>
                <w:b/>
                <w:bCs/>
                <w:color w:val="555555"/>
                <w:kern w:val="0"/>
                <w:sz w:val="24"/>
              </w:rPr>
              <w:t>相关经验，并至少提供两份同类业绩合同证明</w:t>
            </w:r>
            <w:r>
              <w:rPr>
                <w:rFonts w:hint="eastAsia" w:ascii="微软雅黑" w:hAnsi="微软雅黑" w:eastAsia="微软雅黑" w:cs="微软雅黑"/>
                <w:color w:val="555555"/>
                <w:kern w:val="0"/>
                <w:sz w:val="24"/>
              </w:rPr>
              <w:t>。</w:t>
            </w:r>
          </w:p>
          <w:p w14:paraId="77F0073E">
            <w:pPr>
              <w:widowControl/>
              <w:spacing w:line="520" w:lineRule="exact"/>
              <w:ind w:left="389"/>
              <w:jc w:val="left"/>
              <w:rPr>
                <w:rFonts w:hint="eastAsia" w:ascii="微软雅黑" w:hAnsi="微软雅黑" w:eastAsia="微软雅黑" w:cs="微软雅黑"/>
                <w:color w:val="555555"/>
                <w:kern w:val="0"/>
                <w:sz w:val="24"/>
              </w:rPr>
            </w:pPr>
            <w:r>
              <w:rPr>
                <w:rFonts w:hint="eastAsia" w:ascii="微软雅黑" w:hAnsi="微软雅黑" w:eastAsia="微软雅黑" w:cs="微软雅黑"/>
                <w:color w:val="555555"/>
                <w:kern w:val="0"/>
                <w:sz w:val="24"/>
              </w:rPr>
              <w:t>三、服务要求</w:t>
            </w:r>
          </w:p>
          <w:p w14:paraId="6AA6B277">
            <w:pPr>
              <w:widowControl/>
              <w:ind w:firstLine="480" w:firstLineChars="200"/>
              <w:jc w:val="both"/>
              <w:rPr>
                <w:rFonts w:hint="eastAsia" w:ascii="微软雅黑" w:hAnsi="微软雅黑" w:eastAsia="微软雅黑" w:cs="微软雅黑"/>
                <w:color w:val="555555"/>
                <w:kern w:val="0"/>
                <w:sz w:val="24"/>
                <w:lang w:val="en-US" w:eastAsia="zh-CN"/>
              </w:rPr>
            </w:pPr>
            <w:r>
              <w:rPr>
                <w:rFonts w:hint="eastAsia" w:ascii="微软雅黑" w:hAnsi="微软雅黑" w:eastAsia="微软雅黑" w:cs="微软雅黑"/>
                <w:color w:val="555555"/>
                <w:kern w:val="0"/>
                <w:sz w:val="24"/>
                <w:lang w:val="en-US" w:eastAsia="zh-CN"/>
              </w:rPr>
              <w:t>1.成交供应商需为创建“中华诗词之县”诗教汇报演出活动的灯光、音响、导演、相关物料设计制作、现场设备、人员组织及现场的技术指导和服务保障。</w:t>
            </w:r>
          </w:p>
          <w:p w14:paraId="387C8B8D">
            <w:pPr>
              <w:widowControl/>
              <w:ind w:firstLine="480" w:firstLineChars="200"/>
              <w:jc w:val="both"/>
              <w:rPr>
                <w:rFonts w:hint="eastAsia" w:ascii="微软雅黑" w:hAnsi="微软雅黑" w:eastAsia="微软雅黑" w:cs="微软雅黑"/>
                <w:color w:val="555555"/>
                <w:kern w:val="0"/>
                <w:sz w:val="24"/>
                <w:lang w:val="en-US" w:eastAsia="zh-CN"/>
              </w:rPr>
            </w:pPr>
            <w:r>
              <w:rPr>
                <w:rFonts w:hint="eastAsia" w:ascii="微软雅黑" w:hAnsi="微软雅黑" w:eastAsia="微软雅黑" w:cs="微软雅黑"/>
                <w:color w:val="555555"/>
                <w:kern w:val="0"/>
                <w:sz w:val="24"/>
                <w:lang w:val="en-US" w:eastAsia="zh-CN"/>
              </w:rPr>
              <w:t>2、舞美设计与舞台设备需求</w:t>
            </w:r>
          </w:p>
          <w:p w14:paraId="1F3E2284">
            <w:pPr>
              <w:widowControl/>
              <w:ind w:firstLine="480" w:firstLineChars="200"/>
              <w:jc w:val="both"/>
              <w:rPr>
                <w:rFonts w:hint="eastAsia" w:ascii="微软雅黑" w:hAnsi="微软雅黑" w:eastAsia="微软雅黑" w:cs="微软雅黑"/>
                <w:color w:val="555555"/>
                <w:kern w:val="0"/>
                <w:sz w:val="24"/>
                <w:lang w:val="en-US" w:eastAsia="zh-CN"/>
              </w:rPr>
            </w:pPr>
            <w:r>
              <w:rPr>
                <w:rFonts w:hint="eastAsia" w:ascii="微软雅黑" w:hAnsi="微软雅黑" w:eastAsia="微软雅黑" w:cs="微软雅黑"/>
                <w:color w:val="555555"/>
                <w:kern w:val="0"/>
                <w:sz w:val="24"/>
                <w:lang w:val="en-US" w:eastAsia="zh-CN"/>
              </w:rPr>
              <w:t>（1）成交供应商需为创建“中华诗词之县”诗教汇报演出活动提供舞美设计及制作、舞台租赁设备及活动技术保障。</w:t>
            </w:r>
          </w:p>
          <w:p w14:paraId="560D6621">
            <w:pPr>
              <w:widowControl/>
              <w:ind w:firstLine="480" w:firstLineChars="200"/>
              <w:jc w:val="both"/>
              <w:rPr>
                <w:rFonts w:hint="eastAsia" w:ascii="微软雅黑" w:hAnsi="微软雅黑" w:eastAsia="微软雅黑" w:cs="微软雅黑"/>
                <w:color w:val="555555"/>
                <w:kern w:val="0"/>
                <w:sz w:val="24"/>
                <w:lang w:val="en-US" w:eastAsia="zh-CN"/>
              </w:rPr>
            </w:pPr>
            <w:r>
              <w:rPr>
                <w:rFonts w:hint="eastAsia" w:ascii="微软雅黑" w:hAnsi="微软雅黑" w:eastAsia="微软雅黑" w:cs="微软雅黑"/>
                <w:color w:val="555555"/>
                <w:kern w:val="0"/>
                <w:sz w:val="24"/>
                <w:lang w:val="en-US" w:eastAsia="zh-CN"/>
              </w:rPr>
              <w:t>（2）成交供应商须提供音响系统、舞台灯光系统、LED大屏及视频拍摄系统等舞台设备。</w:t>
            </w:r>
          </w:p>
          <w:p w14:paraId="496AACD8">
            <w:pPr>
              <w:widowControl/>
              <w:ind w:firstLine="480" w:firstLineChars="200"/>
              <w:jc w:val="both"/>
              <w:rPr>
                <w:rFonts w:hint="eastAsia" w:ascii="微软雅黑" w:hAnsi="微软雅黑" w:eastAsia="微软雅黑" w:cs="微软雅黑"/>
                <w:color w:val="555555"/>
                <w:kern w:val="0"/>
                <w:sz w:val="24"/>
                <w:lang w:val="en-US" w:eastAsia="zh-CN"/>
              </w:rPr>
            </w:pPr>
            <w:r>
              <w:rPr>
                <w:rFonts w:hint="eastAsia" w:ascii="微软雅黑" w:hAnsi="微软雅黑" w:eastAsia="微软雅黑" w:cs="微软雅黑"/>
                <w:color w:val="555555"/>
                <w:kern w:val="0"/>
                <w:sz w:val="24"/>
                <w:lang w:val="en-US" w:eastAsia="zh-CN"/>
              </w:rPr>
              <w:t>①音响系统设备须包括但不限于：不少于20只线阵列全频音箱、4只线阵列超低音箱、4只返听线阵列音箱、功率放大器（数量须满足系统需求，须与所推动的音箱功率相匹配）、1台数字调音台以及1台备用调音台；拾音设备不少于30套无线话筒、6套电容话筒。</w:t>
            </w:r>
          </w:p>
          <w:p w14:paraId="4D84A320">
            <w:pPr>
              <w:widowControl/>
              <w:ind w:firstLine="480" w:firstLineChars="200"/>
              <w:jc w:val="both"/>
              <w:rPr>
                <w:rFonts w:hint="eastAsia" w:ascii="微软雅黑" w:hAnsi="微软雅黑" w:eastAsia="微软雅黑" w:cs="微软雅黑"/>
                <w:color w:val="555555"/>
                <w:kern w:val="0"/>
                <w:sz w:val="24"/>
                <w:lang w:val="en-US" w:eastAsia="zh-CN"/>
              </w:rPr>
            </w:pPr>
            <w:r>
              <w:rPr>
                <w:rFonts w:hint="eastAsia" w:ascii="微软雅黑" w:hAnsi="微软雅黑" w:eastAsia="微软雅黑" w:cs="微软雅黑"/>
                <w:color w:val="555555"/>
                <w:kern w:val="0"/>
                <w:sz w:val="24"/>
                <w:lang w:val="en-US" w:eastAsia="zh-CN"/>
              </w:rPr>
              <w:t>②舞台灯光系统设备须包括但不限于：不少于1台灯光控制台以及1台备用灯光控制台、100台LED帕灯、20台切割灯、60台图案灯、40台染色灯、70台摇头LED灯、4台天排灯、80台光束灯、60台电脑光束灯、1台追光灯。</w:t>
            </w:r>
          </w:p>
          <w:p w14:paraId="00A12F3C">
            <w:pPr>
              <w:widowControl/>
              <w:ind w:firstLine="480" w:firstLineChars="200"/>
              <w:jc w:val="both"/>
              <w:rPr>
                <w:rFonts w:hint="eastAsia" w:ascii="微软雅黑" w:hAnsi="微软雅黑" w:eastAsia="微软雅黑" w:cs="微软雅黑"/>
                <w:color w:val="555555"/>
                <w:kern w:val="0"/>
                <w:sz w:val="24"/>
                <w:lang w:val="en-US" w:eastAsia="zh-CN"/>
              </w:rPr>
            </w:pPr>
            <w:r>
              <w:rPr>
                <w:rFonts w:hint="eastAsia" w:ascii="微软雅黑" w:hAnsi="微软雅黑" w:eastAsia="微软雅黑" w:cs="微软雅黑"/>
                <w:color w:val="555555"/>
                <w:kern w:val="0"/>
                <w:sz w:val="24"/>
                <w:lang w:val="en-US" w:eastAsia="zh-CN"/>
              </w:rPr>
              <w:t>③LED大屏设备须包括但不限于：不少于250㎡点间距≤2mm的LED主屏、80㎡LED冰屏，与LED大屏配套的视频服务器、视频控制台、视频切换台一批。视频拍摄设备不少于2台4K广播级高清摄像机、1台4K广播级全高清导播台、1套监视器。</w:t>
            </w:r>
          </w:p>
          <w:p w14:paraId="618B5649">
            <w:pPr>
              <w:widowControl/>
              <w:ind w:firstLine="480" w:firstLineChars="200"/>
              <w:jc w:val="both"/>
              <w:rPr>
                <w:rFonts w:hint="default" w:ascii="微软雅黑" w:hAnsi="微软雅黑" w:eastAsia="微软雅黑" w:cs="微软雅黑"/>
                <w:color w:val="555555"/>
                <w:kern w:val="0"/>
                <w:sz w:val="24"/>
                <w:lang w:val="en-US" w:eastAsia="zh-CN"/>
              </w:rPr>
            </w:pPr>
            <w:r>
              <w:rPr>
                <w:rFonts w:hint="eastAsia" w:ascii="微软雅黑" w:hAnsi="微软雅黑" w:eastAsia="微软雅黑" w:cs="微软雅黑"/>
                <w:color w:val="555555"/>
                <w:kern w:val="0"/>
                <w:sz w:val="24"/>
                <w:lang w:val="en-US" w:eastAsia="zh-CN"/>
              </w:rPr>
              <w:t>3.成交供应商需为活动(含排练、彩排)累计肥东境内1000人次工作餐安排（含排练、彩排）工作餐安排，工作餐标准不低于30元/人。餐饮提供点需要经过主办方组织的食品、卫生安全检查检疫。</w:t>
            </w:r>
          </w:p>
        </w:tc>
      </w:tr>
      <w:tr w14:paraId="272522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41" w:hRule="atLeast"/>
          <w:jc w:val="center"/>
        </w:trPr>
        <w:tc>
          <w:tcPr>
            <w:tcW w:w="1935" w:type="dxa"/>
            <w:tcBorders>
              <w:top w:val="single" w:color="auto" w:sz="8" w:space="0"/>
              <w:left w:val="single" w:color="auto" w:sz="8" w:space="0"/>
              <w:bottom w:val="single" w:color="auto" w:sz="8" w:space="0"/>
              <w:right w:val="single" w:color="auto" w:sz="8" w:space="0"/>
            </w:tcBorders>
            <w:shd w:val="clear" w:color="auto" w:fill="FFFFFF"/>
          </w:tcPr>
          <w:p w14:paraId="2C05D76D">
            <w:pPr>
              <w:widowControl/>
              <w:spacing w:line="520" w:lineRule="exact"/>
              <w:ind w:left="29"/>
              <w:jc w:val="left"/>
              <w:rPr>
                <w:rFonts w:ascii="微软雅黑" w:hAnsi="微软雅黑" w:eastAsia="微软雅黑" w:cs="微软雅黑"/>
                <w:color w:val="555555"/>
                <w:kern w:val="0"/>
                <w:sz w:val="24"/>
              </w:rPr>
            </w:pPr>
          </w:p>
        </w:tc>
        <w:tc>
          <w:tcPr>
            <w:tcW w:w="8111"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691EB681">
            <w:pPr>
              <w:widowControl/>
              <w:numPr>
                <w:ilvl w:val="0"/>
                <w:numId w:val="1"/>
              </w:numPr>
              <w:spacing w:line="520" w:lineRule="exact"/>
              <w:ind w:left="29"/>
              <w:jc w:val="left"/>
              <w:rPr>
                <w:rFonts w:ascii="微软雅黑" w:hAnsi="微软雅黑" w:eastAsia="微软雅黑" w:cs="微软雅黑"/>
                <w:color w:val="555555"/>
                <w:kern w:val="0"/>
                <w:sz w:val="24"/>
              </w:rPr>
            </w:pPr>
            <w:r>
              <w:rPr>
                <w:rFonts w:hint="eastAsia" w:ascii="微软雅黑" w:hAnsi="微软雅黑" w:eastAsia="微软雅黑" w:cs="微软雅黑"/>
                <w:color w:val="555555"/>
                <w:kern w:val="0"/>
                <w:sz w:val="24"/>
              </w:rPr>
              <w:t>报价须知</w:t>
            </w:r>
          </w:p>
          <w:p w14:paraId="09988D28">
            <w:pPr>
              <w:widowControl/>
              <w:snapToGrid w:val="0"/>
              <w:ind w:firstLine="480" w:firstLineChars="200"/>
              <w:rPr>
                <w:rFonts w:ascii="微软雅黑" w:hAnsi="微软雅黑" w:eastAsia="微软雅黑" w:cs="微软雅黑"/>
                <w:color w:val="555555"/>
                <w:kern w:val="0"/>
                <w:sz w:val="24"/>
              </w:rPr>
            </w:pPr>
            <w:r>
              <w:rPr>
                <w:rFonts w:hint="eastAsia" w:ascii="宋体" w:hAnsi="宋体" w:cs="宋体"/>
                <w:kern w:val="0"/>
                <w:sz w:val="24"/>
              </w:rPr>
              <w:t>(一)本项目报价上限不高于</w:t>
            </w:r>
            <w:r>
              <w:rPr>
                <w:rFonts w:hint="eastAsia" w:ascii="宋体" w:hAnsi="宋体" w:cs="宋体"/>
                <w:b/>
                <w:bCs/>
                <w:color w:val="0000FF"/>
                <w:kern w:val="0"/>
                <w:sz w:val="24"/>
                <w:lang w:val="en-US" w:eastAsia="zh-CN"/>
              </w:rPr>
              <w:t>8</w:t>
            </w:r>
            <w:r>
              <w:rPr>
                <w:rFonts w:hint="eastAsia" w:ascii="宋体" w:hAnsi="宋体" w:cs="宋体"/>
                <w:kern w:val="0"/>
                <w:sz w:val="24"/>
              </w:rPr>
              <w:t>万元；</w:t>
            </w:r>
          </w:p>
          <w:p w14:paraId="41FB10D7">
            <w:pPr>
              <w:widowControl/>
              <w:spacing w:line="520" w:lineRule="exact"/>
              <w:ind w:firstLine="480"/>
              <w:jc w:val="left"/>
            </w:pPr>
            <w:r>
              <w:rPr>
                <w:rFonts w:hint="eastAsia" w:ascii="微软雅黑" w:hAnsi="微软雅黑" w:eastAsia="微软雅黑" w:cs="微软雅黑"/>
                <w:color w:val="555555"/>
                <w:kern w:val="0"/>
                <w:sz w:val="24"/>
              </w:rPr>
              <w:t> (二)本次采购采用综合评标方式进行，采购单位发放报价单，供应商向肥东县委宣传部一次报出不得更改的价格，但须对该项目的全部内容进行报价，否则询价函报价无效。必须按要求注明售后服务承诺及交付作品时间,用钢笔或碳素笔填写，不得涂改挖补,否则报价无效；</w:t>
            </w:r>
          </w:p>
          <w:p w14:paraId="4F1C6327">
            <w:pPr>
              <w:widowControl/>
              <w:spacing w:line="520" w:lineRule="exact"/>
              <w:ind w:firstLine="480"/>
              <w:jc w:val="left"/>
            </w:pPr>
            <w:r>
              <w:rPr>
                <w:rFonts w:hint="eastAsia" w:ascii="微软雅黑" w:hAnsi="微软雅黑" w:eastAsia="微软雅黑" w:cs="微软雅黑"/>
                <w:color w:val="555555"/>
                <w:kern w:val="0"/>
                <w:sz w:val="24"/>
              </w:rPr>
              <w:t>（三）供应商应于规定时间前往</w:t>
            </w:r>
            <w:r>
              <w:rPr>
                <w:rFonts w:hint="eastAsia" w:ascii="微软雅黑" w:hAnsi="微软雅黑" w:eastAsia="微软雅黑" w:cs="微软雅黑"/>
                <w:color w:val="0000FF"/>
                <w:kern w:val="0"/>
                <w:sz w:val="24"/>
              </w:rPr>
              <w:t>肥东县委宣传部会议室（肥东县政府1号楼3楼）</w:t>
            </w:r>
            <w:r>
              <w:rPr>
                <w:rFonts w:hint="eastAsia" w:ascii="微软雅黑" w:hAnsi="微软雅黑" w:eastAsia="微软雅黑" w:cs="微软雅黑"/>
                <w:color w:val="555555"/>
                <w:kern w:val="0"/>
                <w:sz w:val="24"/>
              </w:rPr>
              <w:t>进行现场报价,过时无效；</w:t>
            </w:r>
          </w:p>
          <w:p w14:paraId="0A08FF55">
            <w:pPr>
              <w:widowControl/>
              <w:spacing w:line="520" w:lineRule="exact"/>
              <w:ind w:firstLine="480"/>
              <w:jc w:val="left"/>
            </w:pPr>
            <w:r>
              <w:rPr>
                <w:rFonts w:hint="eastAsia" w:ascii="微软雅黑" w:hAnsi="微软雅黑" w:eastAsia="微软雅黑" w:cs="微软雅黑"/>
                <w:color w:val="555555"/>
                <w:kern w:val="0"/>
                <w:sz w:val="24"/>
              </w:rPr>
              <w:t>（四）供应商须将询价函密封并加盖公章,参加现场询价会议；</w:t>
            </w:r>
          </w:p>
          <w:p w14:paraId="7439849D">
            <w:pPr>
              <w:widowControl/>
              <w:spacing w:line="520" w:lineRule="exact"/>
              <w:ind w:firstLine="480"/>
              <w:jc w:val="left"/>
            </w:pPr>
            <w:r>
              <w:rPr>
                <w:rFonts w:hint="eastAsia" w:ascii="微软雅黑" w:hAnsi="微软雅黑" w:eastAsia="微软雅黑" w:cs="微软雅黑"/>
                <w:color w:val="555555"/>
                <w:kern w:val="0"/>
                <w:sz w:val="24"/>
              </w:rPr>
              <w:t>（五）报价供应商需将询价函完整下载进行报价，不得更改配置，否则报价无效；</w:t>
            </w:r>
          </w:p>
          <w:p w14:paraId="4EE05094">
            <w:pPr>
              <w:widowControl/>
              <w:spacing w:line="520" w:lineRule="exact"/>
              <w:ind w:firstLine="480"/>
              <w:jc w:val="left"/>
            </w:pPr>
            <w:r>
              <w:rPr>
                <w:rFonts w:hint="eastAsia" w:ascii="微软雅黑" w:hAnsi="微软雅黑" w:eastAsia="微软雅黑" w:cs="微软雅黑"/>
                <w:color w:val="555555"/>
                <w:kern w:val="0"/>
                <w:sz w:val="24"/>
              </w:rPr>
              <w:t>（六）报价供应商参加询价会议时，除提供询价函以外，应提供营业执照、相关资质证明、相关证明材料，供采购方审定通过；</w:t>
            </w:r>
          </w:p>
          <w:p w14:paraId="44BAE15A">
            <w:pPr>
              <w:widowControl/>
              <w:snapToGrid w:val="0"/>
              <w:ind w:firstLine="480"/>
              <w:rPr>
                <w:rFonts w:hint="eastAsia" w:ascii="宋体" w:hAnsi="宋体" w:cs="宋体"/>
                <w:color w:val="0000FF"/>
                <w:kern w:val="0"/>
                <w:sz w:val="24"/>
              </w:rPr>
            </w:pPr>
            <w:r>
              <w:rPr>
                <w:rFonts w:hint="eastAsia" w:ascii="微软雅黑" w:hAnsi="微软雅黑" w:eastAsia="微软雅黑" w:cs="微软雅黑"/>
                <w:color w:val="555555"/>
                <w:kern w:val="0"/>
                <w:sz w:val="24"/>
              </w:rPr>
              <w:t>（七）</w:t>
            </w:r>
            <w:r>
              <w:rPr>
                <w:rFonts w:hint="eastAsia" w:ascii="微软雅黑" w:hAnsi="微软雅黑" w:eastAsia="微软雅黑" w:cs="微软雅黑"/>
                <w:color w:val="0000FF"/>
                <w:kern w:val="0"/>
                <w:sz w:val="24"/>
              </w:rPr>
              <w:t>评标标准：活动方案符合要求，可操作执行性强，在符合采购资质、需求、质量和服务相等的前提下，确</w:t>
            </w:r>
            <w:r>
              <w:rPr>
                <w:rFonts w:hint="eastAsia" w:ascii="微软雅黑" w:hAnsi="微软雅黑" w:eastAsia="微软雅黑" w:cs="微软雅黑"/>
                <w:b w:val="0"/>
                <w:bCs w:val="0"/>
                <w:color w:val="0000FF"/>
                <w:kern w:val="0"/>
                <w:sz w:val="24"/>
              </w:rPr>
              <w:t>定</w:t>
            </w:r>
            <w:r>
              <w:rPr>
                <w:rFonts w:hint="eastAsia" w:ascii="宋体" w:hAnsi="宋体" w:cs="宋体"/>
                <w:b/>
                <w:bCs/>
                <w:color w:val="0000FF"/>
                <w:kern w:val="0"/>
                <w:sz w:val="24"/>
              </w:rPr>
              <w:t>综合评分</w:t>
            </w:r>
            <w:r>
              <w:rPr>
                <w:rFonts w:hint="eastAsia" w:ascii="宋体" w:hAnsi="宋体" w:cs="宋体"/>
                <w:color w:val="0000FF"/>
                <w:kern w:val="0"/>
                <w:sz w:val="24"/>
              </w:rPr>
              <w:t>。</w:t>
            </w:r>
          </w:p>
          <w:tbl>
            <w:tblPr>
              <w:tblStyle w:val="6"/>
              <w:tblpPr w:leftFromText="180" w:rightFromText="180" w:vertAnchor="text" w:horzAnchor="page" w:tblpY="190"/>
              <w:tblOverlap w:val="never"/>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366"/>
              <w:gridCol w:w="4737"/>
              <w:gridCol w:w="2514"/>
            </w:tblGrid>
            <w:tr w14:paraId="0D9C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41" w:type="dxa"/>
                  <w:vAlign w:val="center"/>
                </w:tcPr>
                <w:p w14:paraId="03DEED45">
                  <w:pPr>
                    <w:jc w:val="center"/>
                    <w:rPr>
                      <w:rFonts w:ascii="宋体" w:hAnsi="宋体" w:eastAsia="宋体" w:cs="宋体"/>
                      <w:b/>
                      <w:bCs/>
                      <w:color w:val="0000FF"/>
                      <w:kern w:val="0"/>
                      <w:szCs w:val="21"/>
                    </w:rPr>
                  </w:pPr>
                  <w:r>
                    <w:rPr>
                      <w:rFonts w:hint="eastAsia" w:ascii="宋体" w:hAnsi="宋体" w:eastAsia="宋体" w:cs="宋体"/>
                      <w:b/>
                      <w:bCs/>
                      <w:color w:val="0000FF"/>
                      <w:kern w:val="0"/>
                      <w:szCs w:val="21"/>
                    </w:rPr>
                    <w:t>序  号</w:t>
                  </w:r>
                </w:p>
              </w:tc>
              <w:tc>
                <w:tcPr>
                  <w:tcW w:w="1366" w:type="dxa"/>
                  <w:tcBorders>
                    <w:left w:val="nil"/>
                  </w:tcBorders>
                  <w:vAlign w:val="center"/>
                </w:tcPr>
                <w:p w14:paraId="3A97C8E1">
                  <w:pPr>
                    <w:jc w:val="center"/>
                    <w:rPr>
                      <w:rFonts w:ascii="宋体" w:hAnsi="宋体" w:eastAsia="宋体" w:cs="宋体"/>
                      <w:b/>
                      <w:bCs/>
                      <w:color w:val="0000FF"/>
                      <w:kern w:val="0"/>
                      <w:szCs w:val="21"/>
                    </w:rPr>
                  </w:pPr>
                  <w:r>
                    <w:rPr>
                      <w:rFonts w:hint="eastAsia" w:ascii="宋体" w:hAnsi="宋体" w:eastAsia="宋体" w:cs="宋体"/>
                      <w:b/>
                      <w:bCs/>
                      <w:color w:val="0000FF"/>
                      <w:kern w:val="0"/>
                      <w:szCs w:val="21"/>
                    </w:rPr>
                    <w:t>评 分 项</w:t>
                  </w:r>
                </w:p>
              </w:tc>
              <w:tc>
                <w:tcPr>
                  <w:tcW w:w="4737" w:type="dxa"/>
                  <w:tcBorders>
                    <w:left w:val="nil"/>
                  </w:tcBorders>
                  <w:vAlign w:val="center"/>
                </w:tcPr>
                <w:p w14:paraId="326EA4E4">
                  <w:pPr>
                    <w:jc w:val="center"/>
                    <w:rPr>
                      <w:rFonts w:ascii="宋体" w:hAnsi="宋体" w:eastAsia="宋体" w:cs="宋体"/>
                      <w:b/>
                      <w:bCs/>
                      <w:color w:val="0000FF"/>
                      <w:kern w:val="0"/>
                      <w:szCs w:val="21"/>
                    </w:rPr>
                  </w:pPr>
                  <w:r>
                    <w:rPr>
                      <w:rFonts w:hint="eastAsia" w:ascii="宋体" w:hAnsi="宋体" w:eastAsia="宋体" w:cs="宋体"/>
                      <w:b/>
                      <w:bCs/>
                      <w:color w:val="0000FF"/>
                      <w:kern w:val="0"/>
                      <w:szCs w:val="21"/>
                    </w:rPr>
                    <w:t>评分标准</w:t>
                  </w:r>
                </w:p>
              </w:tc>
              <w:tc>
                <w:tcPr>
                  <w:tcW w:w="2514" w:type="dxa"/>
                  <w:tcBorders>
                    <w:left w:val="nil"/>
                  </w:tcBorders>
                  <w:vAlign w:val="center"/>
                </w:tcPr>
                <w:p w14:paraId="4CD08362">
                  <w:pPr>
                    <w:rPr>
                      <w:rFonts w:ascii="宋体" w:hAnsi="宋体" w:eastAsia="宋体" w:cs="宋体"/>
                      <w:b/>
                      <w:bCs/>
                      <w:color w:val="0000FF"/>
                      <w:kern w:val="0"/>
                      <w:szCs w:val="21"/>
                    </w:rPr>
                  </w:pPr>
                  <w:r>
                    <w:rPr>
                      <w:rFonts w:hint="eastAsia" w:ascii="宋体" w:hAnsi="宋体" w:eastAsia="宋体" w:cs="宋体"/>
                      <w:b/>
                      <w:bCs/>
                      <w:color w:val="0000FF"/>
                      <w:kern w:val="0"/>
                      <w:szCs w:val="21"/>
                    </w:rPr>
                    <w:t>分  值</w:t>
                  </w:r>
                </w:p>
              </w:tc>
            </w:tr>
            <w:tr w14:paraId="45EC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241" w:type="dxa"/>
                  <w:tcBorders>
                    <w:top w:val="single" w:color="auto" w:sz="4" w:space="0"/>
                    <w:right w:val="single" w:color="auto" w:sz="4" w:space="0"/>
                  </w:tcBorders>
                  <w:vAlign w:val="center"/>
                </w:tcPr>
                <w:p w14:paraId="59302B55">
                  <w:pPr>
                    <w:jc w:val="center"/>
                    <w:rPr>
                      <w:rFonts w:ascii="宋体" w:hAnsi="宋体" w:eastAsia="宋体" w:cs="宋体"/>
                      <w:color w:val="0000FF"/>
                      <w:kern w:val="0"/>
                      <w:szCs w:val="21"/>
                    </w:rPr>
                  </w:pPr>
                  <w:r>
                    <w:rPr>
                      <w:rFonts w:hint="eastAsia" w:ascii="宋体" w:hAnsi="宋体" w:eastAsia="宋体" w:cs="宋体"/>
                      <w:color w:val="0000FF"/>
                      <w:kern w:val="0"/>
                      <w:szCs w:val="21"/>
                    </w:rPr>
                    <w:t>1</w:t>
                  </w:r>
                </w:p>
              </w:tc>
              <w:tc>
                <w:tcPr>
                  <w:tcW w:w="1366" w:type="dxa"/>
                  <w:tcBorders>
                    <w:top w:val="single" w:color="auto" w:sz="4" w:space="0"/>
                    <w:left w:val="single" w:color="auto" w:sz="4" w:space="0"/>
                    <w:right w:val="single" w:color="auto" w:sz="4" w:space="0"/>
                  </w:tcBorders>
                  <w:vAlign w:val="center"/>
                </w:tcPr>
                <w:p w14:paraId="35641EA0">
                  <w:pPr>
                    <w:widowControl/>
                    <w:jc w:val="center"/>
                    <w:rPr>
                      <w:rFonts w:hint="eastAsia" w:ascii="宋体" w:hAnsi="宋体" w:eastAsia="宋体" w:cs="宋体"/>
                      <w:color w:val="0000FF"/>
                      <w:kern w:val="0"/>
                      <w:szCs w:val="21"/>
                      <w:lang w:eastAsia="zh-CN"/>
                    </w:rPr>
                  </w:pPr>
                  <w:r>
                    <w:rPr>
                      <w:rFonts w:hint="eastAsia" w:ascii="宋体" w:hAnsi="宋体" w:cs="宋体"/>
                      <w:color w:val="0000FF"/>
                      <w:kern w:val="0"/>
                      <w:szCs w:val="21"/>
                      <w:lang w:eastAsia="zh-CN"/>
                    </w:rPr>
                    <w:t>奖</w:t>
                  </w:r>
                  <w:r>
                    <w:rPr>
                      <w:rFonts w:hint="eastAsia" w:ascii="宋体" w:hAnsi="宋体" w:cs="宋体"/>
                      <w:color w:val="0000FF"/>
                      <w:kern w:val="0"/>
                      <w:szCs w:val="21"/>
                      <w:lang w:val="en-US" w:eastAsia="zh-CN"/>
                    </w:rPr>
                    <w:t xml:space="preserve">  </w:t>
                  </w:r>
                  <w:r>
                    <w:rPr>
                      <w:rFonts w:hint="eastAsia" w:ascii="宋体" w:hAnsi="宋体" w:cs="宋体"/>
                      <w:color w:val="0000FF"/>
                      <w:kern w:val="0"/>
                      <w:szCs w:val="21"/>
                      <w:lang w:eastAsia="zh-CN"/>
                    </w:rPr>
                    <w:t>项</w:t>
                  </w:r>
                </w:p>
              </w:tc>
              <w:tc>
                <w:tcPr>
                  <w:tcW w:w="4737" w:type="dxa"/>
                  <w:tcBorders>
                    <w:top w:val="single" w:color="auto" w:sz="4" w:space="0"/>
                    <w:left w:val="single" w:color="auto" w:sz="4" w:space="0"/>
                    <w:bottom w:val="single" w:color="auto" w:sz="4" w:space="0"/>
                    <w:right w:val="single" w:color="auto" w:sz="4" w:space="0"/>
                  </w:tcBorders>
                </w:tcPr>
                <w:p w14:paraId="4A656FBE">
                  <w:pPr>
                    <w:pStyle w:val="11"/>
                    <w:ind w:right="19"/>
                    <w:rPr>
                      <w:rFonts w:hint="eastAsia" w:eastAsia="宋体"/>
                      <w:color w:val="0000FF"/>
                      <w:szCs w:val="21"/>
                    </w:rPr>
                  </w:pPr>
                  <w:r>
                    <w:rPr>
                      <w:rFonts w:hint="eastAsia" w:eastAsia="宋体"/>
                      <w:color w:val="0000FF"/>
                      <w:szCs w:val="21"/>
                    </w:rPr>
                    <w:t>自201</w:t>
                  </w:r>
                  <w:r>
                    <w:rPr>
                      <w:rFonts w:hint="eastAsia"/>
                      <w:color w:val="0000FF"/>
                      <w:szCs w:val="21"/>
                      <w:lang w:val="en-US" w:eastAsia="zh-CN"/>
                    </w:rPr>
                    <w:t>9</w:t>
                  </w:r>
                  <w:r>
                    <w:rPr>
                      <w:rFonts w:hint="eastAsia" w:eastAsia="宋体"/>
                      <w:color w:val="0000FF"/>
                      <w:szCs w:val="21"/>
                    </w:rPr>
                    <w:t>年1月1日以来（以获奖时间为准）：</w:t>
                  </w:r>
                </w:p>
                <w:p w14:paraId="3E53062B">
                  <w:pPr>
                    <w:pStyle w:val="11"/>
                    <w:ind w:right="19"/>
                    <w:rPr>
                      <w:rFonts w:hint="default" w:eastAsia="宋体"/>
                      <w:color w:val="0000FF"/>
                      <w:szCs w:val="21"/>
                      <w:lang w:val="en-US" w:eastAsia="zh-CN"/>
                    </w:rPr>
                  </w:pPr>
                  <w:r>
                    <w:rPr>
                      <w:rFonts w:hint="eastAsia" w:eastAsia="宋体"/>
                      <w:color w:val="0000FF"/>
                      <w:szCs w:val="21"/>
                    </w:rPr>
                    <w:t>供应商每获得一个省级及以上文化宣传主管部门颁发的创意营销类奖项或表彰，得8分</w:t>
                  </w:r>
                  <w:r>
                    <w:rPr>
                      <w:rFonts w:hint="eastAsia"/>
                      <w:color w:val="0000FF"/>
                      <w:szCs w:val="21"/>
                      <w:lang w:eastAsia="zh-CN"/>
                    </w:rPr>
                    <w:t>，最多不超过两个</w:t>
                  </w:r>
                  <w:r>
                    <w:rPr>
                      <w:rFonts w:hint="eastAsia"/>
                      <w:color w:val="0000FF"/>
                      <w:szCs w:val="21"/>
                      <w:lang w:val="en-US" w:eastAsia="zh-CN"/>
                    </w:rPr>
                    <w:t>；</w:t>
                  </w:r>
                </w:p>
                <w:p w14:paraId="08073F36">
                  <w:pPr>
                    <w:pStyle w:val="11"/>
                    <w:ind w:right="19"/>
                    <w:rPr>
                      <w:rFonts w:hint="default" w:eastAsia="宋体"/>
                      <w:color w:val="0000FF"/>
                      <w:szCs w:val="21"/>
                      <w:lang w:val="en-US" w:eastAsia="zh-CN"/>
                    </w:rPr>
                  </w:pPr>
                  <w:r>
                    <w:rPr>
                      <w:rFonts w:hint="eastAsia" w:eastAsia="宋体"/>
                      <w:color w:val="0000FF"/>
                      <w:szCs w:val="21"/>
                    </w:rPr>
                    <w:t>供应商每获得一个市级文化宣传主管部门颁发的创意营销类奖项或表彰得5分</w:t>
                  </w:r>
                  <w:r>
                    <w:rPr>
                      <w:rFonts w:hint="eastAsia"/>
                      <w:color w:val="0000FF"/>
                      <w:szCs w:val="21"/>
                      <w:lang w:eastAsia="zh-CN"/>
                    </w:rPr>
                    <w:t>，最多不超过两个</w:t>
                  </w:r>
                  <w:r>
                    <w:rPr>
                      <w:rFonts w:hint="eastAsia"/>
                      <w:color w:val="0000FF"/>
                      <w:szCs w:val="21"/>
                      <w:lang w:val="en-US" w:eastAsia="zh-CN"/>
                    </w:rPr>
                    <w:t>；</w:t>
                  </w:r>
                </w:p>
                <w:p w14:paraId="30726E97">
                  <w:pPr>
                    <w:pStyle w:val="11"/>
                    <w:ind w:right="19"/>
                    <w:rPr>
                      <w:rFonts w:hint="eastAsia" w:eastAsia="宋体"/>
                      <w:color w:val="0000FF"/>
                      <w:szCs w:val="21"/>
                      <w:lang w:eastAsia="zh-CN"/>
                    </w:rPr>
                  </w:pPr>
                  <w:r>
                    <w:rPr>
                      <w:rFonts w:hint="eastAsia" w:eastAsia="宋体"/>
                      <w:color w:val="0000FF"/>
                      <w:szCs w:val="21"/>
                    </w:rPr>
                    <w:t>供应商每获得一个县级文化宣传主管部门颁发的创意营销类奖项或表彰得2分</w:t>
                  </w:r>
                  <w:r>
                    <w:rPr>
                      <w:rFonts w:hint="eastAsia"/>
                      <w:color w:val="0000FF"/>
                      <w:szCs w:val="21"/>
                      <w:lang w:eastAsia="zh-CN"/>
                    </w:rPr>
                    <w:t>，最多不超过两个</w:t>
                  </w:r>
                  <w:r>
                    <w:rPr>
                      <w:rFonts w:hint="eastAsia"/>
                      <w:color w:val="0000FF"/>
                      <w:szCs w:val="21"/>
                      <w:lang w:val="en-US" w:eastAsia="zh-CN"/>
                    </w:rPr>
                    <w:t>；</w:t>
                  </w:r>
                </w:p>
                <w:p w14:paraId="6925365F">
                  <w:pPr>
                    <w:pStyle w:val="11"/>
                    <w:ind w:right="19"/>
                    <w:rPr>
                      <w:rFonts w:hint="eastAsia" w:eastAsia="宋体"/>
                      <w:color w:val="0000FF"/>
                      <w:szCs w:val="21"/>
                    </w:rPr>
                  </w:pPr>
                  <w:r>
                    <w:rPr>
                      <w:rFonts w:hint="eastAsia" w:eastAsia="宋体"/>
                      <w:color w:val="0000FF"/>
                      <w:szCs w:val="21"/>
                    </w:rPr>
                    <w:t>本项满分1</w:t>
                  </w:r>
                  <w:r>
                    <w:rPr>
                      <w:rFonts w:hint="eastAsia"/>
                      <w:color w:val="0000FF"/>
                      <w:szCs w:val="21"/>
                      <w:lang w:val="en-US" w:eastAsia="zh-CN"/>
                    </w:rPr>
                    <w:t>6</w:t>
                  </w:r>
                  <w:r>
                    <w:rPr>
                      <w:rFonts w:hint="eastAsia" w:eastAsia="宋体"/>
                      <w:color w:val="0000FF"/>
                      <w:szCs w:val="21"/>
                    </w:rPr>
                    <w:t>分。</w:t>
                  </w:r>
                </w:p>
                <w:p w14:paraId="23EE6C6E">
                  <w:pPr>
                    <w:pStyle w:val="11"/>
                    <w:ind w:right="19"/>
                    <w:rPr>
                      <w:rFonts w:hint="eastAsia" w:eastAsia="宋体"/>
                      <w:color w:val="0000FF"/>
                      <w:szCs w:val="21"/>
                    </w:rPr>
                  </w:pPr>
                  <w:r>
                    <w:rPr>
                      <w:rFonts w:hint="eastAsia" w:eastAsia="宋体"/>
                      <w:color w:val="0000FF"/>
                      <w:szCs w:val="21"/>
                    </w:rPr>
                    <w:t>注：（1）时间以获奖时间为准，供应商因同一项目多次获奖的仅计分一次并以最高表彰计；</w:t>
                  </w:r>
                </w:p>
                <w:p w14:paraId="59B08F31">
                  <w:pPr>
                    <w:pStyle w:val="11"/>
                    <w:ind w:right="19"/>
                    <w:rPr>
                      <w:rFonts w:eastAsia="宋体"/>
                      <w:color w:val="0000FF"/>
                      <w:szCs w:val="21"/>
                      <w:lang w:val="en-US"/>
                    </w:rPr>
                  </w:pPr>
                  <w:r>
                    <w:rPr>
                      <w:rFonts w:hint="eastAsia" w:eastAsia="宋体"/>
                      <w:color w:val="0000FF"/>
                      <w:szCs w:val="21"/>
                    </w:rPr>
                    <w:t xml:space="preserve">（2）提供获奖证书、批复、颁奖单位颁奖文件、网上公示截图（具有其中之一即可）等证明材料。以上材料须能体现供应商名称、获奖时间，如无法体现，须另附颁奖单位的相关证明材料。 </w:t>
                  </w:r>
                </w:p>
              </w:tc>
              <w:tc>
                <w:tcPr>
                  <w:tcW w:w="2514" w:type="dxa"/>
                  <w:tcBorders>
                    <w:top w:val="single" w:color="auto" w:sz="4" w:space="0"/>
                    <w:left w:val="single" w:color="auto" w:sz="4" w:space="0"/>
                  </w:tcBorders>
                  <w:vAlign w:val="center"/>
                </w:tcPr>
                <w:p w14:paraId="2321962B">
                  <w:pPr>
                    <w:pStyle w:val="2"/>
                    <w:jc w:val="both"/>
                    <w:rPr>
                      <w:rFonts w:hint="default" w:eastAsia="宋体" w:cs="宋体"/>
                      <w:color w:val="0000FF"/>
                      <w:szCs w:val="21"/>
                      <w:lang w:val="en-US" w:eastAsia="zh-CN"/>
                    </w:rPr>
                  </w:pPr>
                  <w:r>
                    <w:rPr>
                      <w:rFonts w:hint="eastAsia" w:ascii="宋体" w:hAnsi="宋体" w:eastAsia="宋体" w:cs="宋体"/>
                      <w:b w:val="0"/>
                      <w:bCs/>
                      <w:color w:val="0000FF"/>
                      <w:kern w:val="2"/>
                      <w:sz w:val="21"/>
                      <w:szCs w:val="21"/>
                      <w:lang w:val="en-US" w:eastAsia="zh-CN" w:bidi="ar-SA"/>
                    </w:rPr>
                    <w:t>1</w:t>
                  </w:r>
                  <w:r>
                    <w:rPr>
                      <w:rFonts w:hint="eastAsia" w:cs="宋体"/>
                      <w:b w:val="0"/>
                      <w:bCs/>
                      <w:color w:val="0000FF"/>
                      <w:kern w:val="2"/>
                      <w:sz w:val="21"/>
                      <w:szCs w:val="21"/>
                      <w:lang w:val="en-US" w:eastAsia="zh-CN" w:bidi="ar-SA"/>
                    </w:rPr>
                    <w:t>6</w:t>
                  </w:r>
                  <w:r>
                    <w:rPr>
                      <w:rFonts w:hint="eastAsia" w:ascii="宋体" w:hAnsi="宋体" w:eastAsia="宋体" w:cs="宋体"/>
                      <w:b w:val="0"/>
                      <w:bCs/>
                      <w:color w:val="0000FF"/>
                      <w:kern w:val="2"/>
                      <w:sz w:val="21"/>
                      <w:szCs w:val="21"/>
                      <w:lang w:val="en-US" w:eastAsia="zh-CN" w:bidi="ar-SA"/>
                    </w:rPr>
                    <w:t>分</w:t>
                  </w:r>
                </w:p>
              </w:tc>
            </w:tr>
            <w:tr w14:paraId="0B89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241" w:type="dxa"/>
                  <w:tcBorders>
                    <w:top w:val="single" w:color="auto" w:sz="4" w:space="0"/>
                    <w:right w:val="single" w:color="auto" w:sz="4" w:space="0"/>
                  </w:tcBorders>
                  <w:vAlign w:val="center"/>
                </w:tcPr>
                <w:p w14:paraId="7C2894E9">
                  <w:pPr>
                    <w:jc w:val="center"/>
                    <w:rPr>
                      <w:rFonts w:hint="eastAsia" w:ascii="宋体" w:hAnsi="宋体" w:eastAsia="宋体" w:cs="宋体"/>
                      <w:color w:val="0000FF"/>
                      <w:kern w:val="0"/>
                      <w:szCs w:val="21"/>
                      <w:lang w:val="en-US" w:eastAsia="zh-CN"/>
                    </w:rPr>
                  </w:pPr>
                  <w:r>
                    <w:rPr>
                      <w:rFonts w:hint="eastAsia" w:ascii="宋体" w:hAnsi="宋体" w:cs="宋体"/>
                      <w:color w:val="0000FF"/>
                      <w:kern w:val="0"/>
                      <w:szCs w:val="21"/>
                      <w:lang w:val="en-US" w:eastAsia="zh-CN"/>
                    </w:rPr>
                    <w:t>2</w:t>
                  </w:r>
                </w:p>
              </w:tc>
              <w:tc>
                <w:tcPr>
                  <w:tcW w:w="1366" w:type="dxa"/>
                  <w:tcBorders>
                    <w:top w:val="single" w:color="auto" w:sz="4" w:space="0"/>
                    <w:left w:val="single" w:color="auto" w:sz="4" w:space="0"/>
                    <w:right w:val="single" w:color="auto" w:sz="4" w:space="0"/>
                  </w:tcBorders>
                  <w:vAlign w:val="center"/>
                </w:tcPr>
                <w:p w14:paraId="68129AC7">
                  <w:pPr>
                    <w:widowControl/>
                    <w:jc w:val="center"/>
                    <w:rPr>
                      <w:rFonts w:hint="eastAsia" w:ascii="宋体" w:hAnsi="宋体" w:cs="宋体"/>
                      <w:color w:val="0000FF"/>
                      <w:kern w:val="0"/>
                      <w:szCs w:val="21"/>
                      <w:lang w:eastAsia="zh-CN"/>
                    </w:rPr>
                  </w:pPr>
                  <w:r>
                    <w:rPr>
                      <w:rFonts w:hint="eastAsia" w:ascii="宋体" w:hAnsi="宋体" w:cs="宋体"/>
                      <w:color w:val="0000FF"/>
                      <w:kern w:val="0"/>
                      <w:szCs w:val="21"/>
                      <w:lang w:val="en-US" w:eastAsia="zh-CN"/>
                    </w:rPr>
                    <w:t>业  绩</w:t>
                  </w:r>
                </w:p>
              </w:tc>
              <w:tc>
                <w:tcPr>
                  <w:tcW w:w="4737" w:type="dxa"/>
                  <w:tcBorders>
                    <w:top w:val="single" w:color="auto" w:sz="4" w:space="0"/>
                    <w:left w:val="single" w:color="auto" w:sz="4" w:space="0"/>
                    <w:bottom w:val="single" w:color="auto" w:sz="4" w:space="0"/>
                    <w:right w:val="single" w:color="auto" w:sz="4" w:space="0"/>
                  </w:tcBorders>
                </w:tcPr>
                <w:p w14:paraId="53AA28BA">
                  <w:pPr>
                    <w:pStyle w:val="11"/>
                    <w:ind w:right="19"/>
                    <w:rPr>
                      <w:rFonts w:hint="eastAsia" w:eastAsia="宋体"/>
                      <w:color w:val="0000FF"/>
                      <w:szCs w:val="21"/>
                    </w:rPr>
                  </w:pPr>
                  <w:r>
                    <w:rPr>
                      <w:rFonts w:hint="eastAsia" w:eastAsia="宋体"/>
                      <w:color w:val="0000FF"/>
                      <w:szCs w:val="21"/>
                    </w:rPr>
                    <w:t>自2019年1月1日以来，供应商具有承办过由政府部门作为指导单位</w:t>
                  </w:r>
                  <w:r>
                    <w:rPr>
                      <w:rFonts w:hint="eastAsia" w:eastAsia="宋体"/>
                      <w:color w:val="0000FF"/>
                      <w:szCs w:val="21"/>
                      <w:lang w:eastAsia="zh-CN"/>
                    </w:rPr>
                    <w:t>、</w:t>
                  </w:r>
                  <w:r>
                    <w:rPr>
                      <w:rFonts w:hint="eastAsia" w:eastAsia="宋体"/>
                      <w:color w:val="0000FF"/>
                      <w:szCs w:val="21"/>
                    </w:rPr>
                    <w:t>县级及以上党政机关或事业单位举办的文化文艺类活动的业绩，每提供一个业绩得</w:t>
                  </w:r>
                  <w:r>
                    <w:rPr>
                      <w:rFonts w:hint="eastAsia"/>
                      <w:color w:val="0000FF"/>
                      <w:szCs w:val="21"/>
                      <w:lang w:val="en-US" w:eastAsia="zh-CN"/>
                    </w:rPr>
                    <w:t>5</w:t>
                  </w:r>
                  <w:r>
                    <w:rPr>
                      <w:rFonts w:hint="eastAsia" w:eastAsia="宋体"/>
                      <w:color w:val="0000FF"/>
                      <w:szCs w:val="21"/>
                    </w:rPr>
                    <w:t>分，满分</w:t>
                  </w:r>
                  <w:r>
                    <w:rPr>
                      <w:rFonts w:hint="eastAsia"/>
                      <w:color w:val="0000FF"/>
                      <w:szCs w:val="21"/>
                      <w:lang w:val="en-US" w:eastAsia="zh-CN"/>
                    </w:rPr>
                    <w:t>10</w:t>
                  </w:r>
                  <w:r>
                    <w:rPr>
                      <w:rFonts w:hint="eastAsia" w:eastAsia="宋体"/>
                      <w:color w:val="0000FF"/>
                      <w:szCs w:val="21"/>
                    </w:rPr>
                    <w:t>分；</w:t>
                  </w:r>
                </w:p>
                <w:p w14:paraId="201C9522">
                  <w:pPr>
                    <w:pStyle w:val="11"/>
                    <w:ind w:right="19"/>
                    <w:rPr>
                      <w:rFonts w:hint="eastAsia" w:eastAsia="宋体"/>
                      <w:color w:val="0000FF"/>
                      <w:szCs w:val="21"/>
                    </w:rPr>
                  </w:pPr>
                  <w:r>
                    <w:rPr>
                      <w:rFonts w:hint="eastAsia" w:eastAsia="宋体"/>
                      <w:color w:val="0000FF"/>
                      <w:szCs w:val="21"/>
                    </w:rPr>
                    <w:t>注：（1）时间以合同签订时间为准，业绩须为已完成的业绩；（2）需要文件中提供业绩合同及业主单位盖章的履约完成材料，如合同中无法体现时间、项目内容等关键信息的，须另附业主证明材料，否则不予认可。</w:t>
                  </w:r>
                </w:p>
              </w:tc>
              <w:tc>
                <w:tcPr>
                  <w:tcW w:w="2514" w:type="dxa"/>
                  <w:tcBorders>
                    <w:top w:val="single" w:color="auto" w:sz="4" w:space="0"/>
                    <w:left w:val="single" w:color="auto" w:sz="4" w:space="0"/>
                  </w:tcBorders>
                  <w:vAlign w:val="center"/>
                </w:tcPr>
                <w:p w14:paraId="5E062403">
                  <w:pPr>
                    <w:pStyle w:val="2"/>
                    <w:jc w:val="both"/>
                    <w:rPr>
                      <w:rFonts w:hint="default" w:ascii="宋体" w:hAnsi="宋体" w:eastAsia="宋体" w:cs="宋体"/>
                      <w:b w:val="0"/>
                      <w:bCs/>
                      <w:color w:val="0000FF"/>
                      <w:kern w:val="2"/>
                      <w:sz w:val="21"/>
                      <w:szCs w:val="21"/>
                      <w:lang w:val="en-US" w:eastAsia="zh-CN" w:bidi="ar-SA"/>
                    </w:rPr>
                  </w:pPr>
                  <w:r>
                    <w:rPr>
                      <w:rFonts w:hint="eastAsia" w:cs="宋体"/>
                      <w:b w:val="0"/>
                      <w:bCs/>
                      <w:color w:val="0000FF"/>
                      <w:kern w:val="2"/>
                      <w:sz w:val="21"/>
                      <w:szCs w:val="21"/>
                      <w:lang w:val="en-US" w:eastAsia="zh-CN" w:bidi="ar-SA"/>
                    </w:rPr>
                    <w:t>10分</w:t>
                  </w:r>
                </w:p>
              </w:tc>
            </w:tr>
            <w:tr w14:paraId="00B1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1" w:type="dxa"/>
                  <w:tcBorders>
                    <w:right w:val="single" w:color="auto" w:sz="4" w:space="0"/>
                  </w:tcBorders>
                  <w:vAlign w:val="center"/>
                </w:tcPr>
                <w:p w14:paraId="6BB6AD90">
                  <w:pPr>
                    <w:widowControl/>
                    <w:jc w:val="center"/>
                    <w:rPr>
                      <w:rFonts w:hint="eastAsia" w:ascii="宋体" w:hAnsi="宋体" w:eastAsia="宋体" w:cs="宋体"/>
                      <w:color w:val="0000FF"/>
                      <w:kern w:val="0"/>
                      <w:szCs w:val="21"/>
                      <w:lang w:eastAsia="zh-CN"/>
                    </w:rPr>
                  </w:pPr>
                  <w:r>
                    <w:rPr>
                      <w:rFonts w:hint="eastAsia" w:ascii="宋体" w:hAnsi="宋体" w:cs="宋体"/>
                      <w:color w:val="0000FF"/>
                      <w:kern w:val="0"/>
                      <w:szCs w:val="21"/>
                      <w:lang w:val="en-US" w:eastAsia="zh-CN"/>
                    </w:rPr>
                    <w:t>3</w:t>
                  </w:r>
                </w:p>
              </w:tc>
              <w:tc>
                <w:tcPr>
                  <w:tcW w:w="1366" w:type="dxa"/>
                  <w:tcBorders>
                    <w:left w:val="single" w:color="auto" w:sz="4" w:space="0"/>
                  </w:tcBorders>
                  <w:vAlign w:val="center"/>
                </w:tcPr>
                <w:p w14:paraId="191FBDF8">
                  <w:pPr>
                    <w:widowControl/>
                    <w:jc w:val="center"/>
                    <w:textAlignment w:val="center"/>
                    <w:rPr>
                      <w:rFonts w:ascii="宋体" w:hAnsi="宋体" w:eastAsia="宋体" w:cs="宋体"/>
                      <w:color w:val="0000FF"/>
                      <w:szCs w:val="21"/>
                    </w:rPr>
                  </w:pPr>
                  <w:r>
                    <w:rPr>
                      <w:rFonts w:hint="eastAsia" w:ascii="宋体" w:hAnsi="宋体" w:eastAsia="宋体" w:cs="宋体"/>
                      <w:color w:val="0000FF"/>
                      <w:szCs w:val="21"/>
                    </w:rPr>
                    <w:t>服务方案</w:t>
                  </w:r>
                </w:p>
              </w:tc>
              <w:tc>
                <w:tcPr>
                  <w:tcW w:w="4737" w:type="dxa"/>
                  <w:vAlign w:val="center"/>
                </w:tcPr>
                <w:p w14:paraId="6C4B150E">
                  <w:pPr>
                    <w:pStyle w:val="11"/>
                    <w:ind w:right="19"/>
                    <w:rPr>
                      <w:rFonts w:hint="eastAsia"/>
                      <w:color w:val="0000FF"/>
                      <w:szCs w:val="21"/>
                      <w:lang w:val="en-US" w:eastAsia="zh-CN"/>
                    </w:rPr>
                  </w:pPr>
                  <w:r>
                    <w:rPr>
                      <w:rFonts w:hint="eastAsia" w:eastAsia="宋体"/>
                      <w:color w:val="0000FF"/>
                      <w:szCs w:val="21"/>
                      <w:lang w:val="en-US"/>
                    </w:rPr>
                    <w:t>投标人针对本项目制定本次活动整体服务方案，包含</w:t>
                  </w:r>
                  <w:r>
                    <w:rPr>
                      <w:rFonts w:hint="eastAsia"/>
                      <w:color w:val="0000FF"/>
                      <w:szCs w:val="21"/>
                      <w:lang w:val="en-US" w:eastAsia="zh-CN"/>
                    </w:rPr>
                    <w:t>技术服务、</w:t>
                  </w:r>
                  <w:r>
                    <w:rPr>
                      <w:rFonts w:hint="eastAsia" w:eastAsia="宋体"/>
                      <w:color w:val="0000FF"/>
                      <w:szCs w:val="21"/>
                      <w:lang w:val="en-US"/>
                    </w:rPr>
                    <w:t>场地布置、</w:t>
                  </w:r>
                  <w:r>
                    <w:rPr>
                      <w:rFonts w:hint="eastAsia"/>
                      <w:color w:val="0000FF"/>
                      <w:szCs w:val="21"/>
                      <w:lang w:val="en-US" w:eastAsia="zh-CN"/>
                    </w:rPr>
                    <w:t>设备支持、</w:t>
                  </w:r>
                  <w:r>
                    <w:rPr>
                      <w:rFonts w:hint="eastAsia" w:eastAsia="宋体"/>
                      <w:color w:val="0000FF"/>
                      <w:szCs w:val="21"/>
                      <w:lang w:val="en-US"/>
                    </w:rPr>
                    <w:t>相关物料设计等</w:t>
                  </w:r>
                  <w:r>
                    <w:rPr>
                      <w:rFonts w:hint="eastAsia"/>
                      <w:color w:val="0000FF"/>
                      <w:szCs w:val="21"/>
                      <w:lang w:val="en-US" w:eastAsia="zh-CN"/>
                    </w:rPr>
                    <w:t>：</w:t>
                  </w:r>
                </w:p>
                <w:p w14:paraId="753A97D2">
                  <w:pPr>
                    <w:pStyle w:val="11"/>
                    <w:ind w:right="19"/>
                    <w:rPr>
                      <w:rFonts w:hint="eastAsia"/>
                      <w:color w:val="0000FF"/>
                      <w:szCs w:val="21"/>
                      <w:lang w:val="en-US" w:eastAsia="zh-CN"/>
                    </w:rPr>
                  </w:pPr>
                  <w:r>
                    <w:rPr>
                      <w:rFonts w:hint="eastAsia"/>
                      <w:color w:val="0000FF"/>
                      <w:szCs w:val="21"/>
                      <w:lang w:val="en-US" w:eastAsia="zh-CN"/>
                    </w:rPr>
                    <w:t>1.提供的方案详细合理、具有针对性，创新新颖，设计美感较强，可操作性强，优于活动采购需求的，得31-40分；</w:t>
                  </w:r>
                </w:p>
                <w:p w14:paraId="708725DB">
                  <w:pPr>
                    <w:pStyle w:val="11"/>
                    <w:ind w:right="19"/>
                    <w:rPr>
                      <w:rFonts w:hint="eastAsia"/>
                      <w:color w:val="0000FF"/>
                      <w:szCs w:val="21"/>
                      <w:lang w:val="en-US" w:eastAsia="zh-CN"/>
                    </w:rPr>
                  </w:pPr>
                  <w:r>
                    <w:rPr>
                      <w:rFonts w:hint="eastAsia"/>
                      <w:color w:val="0000FF"/>
                      <w:szCs w:val="21"/>
                      <w:lang w:val="en-US" w:eastAsia="zh-CN"/>
                    </w:rPr>
                    <w:t>2.提供的方案较详细，基本符合规范、有关要求，设计理念基本符合一般审美，具有可操作性，基本符合采购需求的，得21-30分；</w:t>
                  </w:r>
                </w:p>
                <w:p w14:paraId="16F5D33B">
                  <w:pPr>
                    <w:pStyle w:val="11"/>
                    <w:ind w:right="19"/>
                    <w:rPr>
                      <w:rFonts w:hint="eastAsia"/>
                      <w:color w:val="0000FF"/>
                      <w:szCs w:val="21"/>
                      <w:lang w:val="en-US" w:eastAsia="zh-CN"/>
                    </w:rPr>
                  </w:pPr>
                  <w:r>
                    <w:rPr>
                      <w:rFonts w:hint="eastAsia"/>
                      <w:color w:val="0000FF"/>
                      <w:szCs w:val="21"/>
                      <w:lang w:val="en-US" w:eastAsia="zh-CN"/>
                    </w:rPr>
                    <w:t>3.提供的方案简略，方案基本适用本项目采购需求，可行性、实用性、针对性有待改善，得11-20分；</w:t>
                  </w:r>
                </w:p>
                <w:p w14:paraId="6C57D156">
                  <w:pPr>
                    <w:pStyle w:val="11"/>
                    <w:ind w:right="19"/>
                    <w:rPr>
                      <w:rFonts w:hint="eastAsia"/>
                      <w:color w:val="0000FF"/>
                      <w:szCs w:val="21"/>
                      <w:lang w:val="en-US" w:eastAsia="zh-CN"/>
                    </w:rPr>
                  </w:pPr>
                  <w:r>
                    <w:rPr>
                      <w:rFonts w:hint="eastAsia"/>
                      <w:color w:val="0000FF"/>
                      <w:szCs w:val="21"/>
                      <w:lang w:val="en-US" w:eastAsia="zh-CN"/>
                    </w:rPr>
                    <w:t>4.</w:t>
                  </w:r>
                  <w:r>
                    <w:rPr>
                      <w:rFonts w:hint="eastAsia" w:eastAsia="宋体"/>
                      <w:color w:val="0000FF"/>
                      <w:szCs w:val="21"/>
                      <w:lang w:val="en-US"/>
                    </w:rPr>
                    <w:t>方案内容不完善的</w:t>
                  </w:r>
                  <w:r>
                    <w:rPr>
                      <w:rFonts w:hint="eastAsia"/>
                      <w:color w:val="0000FF"/>
                      <w:szCs w:val="21"/>
                      <w:lang w:val="en-US" w:eastAsia="zh-CN"/>
                    </w:rPr>
                    <w:t>，</w:t>
                  </w:r>
                  <w:r>
                    <w:rPr>
                      <w:rFonts w:hint="eastAsia" w:eastAsia="宋体"/>
                      <w:color w:val="0000FF"/>
                      <w:szCs w:val="21"/>
                      <w:lang w:val="en-US"/>
                    </w:rPr>
                    <w:t>得</w:t>
                  </w:r>
                  <w:r>
                    <w:rPr>
                      <w:rFonts w:hint="eastAsia"/>
                      <w:color w:val="0000FF"/>
                      <w:szCs w:val="21"/>
                      <w:lang w:val="en-US" w:eastAsia="zh-CN"/>
                    </w:rPr>
                    <w:t>1-10分；</w:t>
                  </w:r>
                </w:p>
                <w:p w14:paraId="66B52BE5">
                  <w:pPr>
                    <w:pStyle w:val="11"/>
                    <w:ind w:right="19"/>
                    <w:rPr>
                      <w:rFonts w:hint="eastAsia" w:eastAsia="宋体"/>
                      <w:color w:val="0000FF"/>
                      <w:szCs w:val="21"/>
                      <w:lang w:val="en-US" w:eastAsia="zh-CN"/>
                    </w:rPr>
                  </w:pPr>
                  <w:r>
                    <w:rPr>
                      <w:rFonts w:hint="eastAsia"/>
                      <w:color w:val="0000FF"/>
                      <w:szCs w:val="21"/>
                      <w:lang w:val="en-US" w:eastAsia="zh-CN"/>
                    </w:rPr>
                    <w:t>5.其他情况或未提供的，不得分。</w:t>
                  </w:r>
                </w:p>
              </w:tc>
              <w:tc>
                <w:tcPr>
                  <w:tcW w:w="2514" w:type="dxa"/>
                  <w:vAlign w:val="center"/>
                </w:tcPr>
                <w:p w14:paraId="31732619">
                  <w:pPr>
                    <w:rPr>
                      <w:rFonts w:hint="default" w:ascii="宋体" w:hAnsi="宋体" w:eastAsia="宋体" w:cs="宋体"/>
                      <w:color w:val="0000FF"/>
                      <w:szCs w:val="21"/>
                      <w:lang w:val="en-US" w:eastAsia="zh-CN"/>
                    </w:rPr>
                  </w:pPr>
                  <w:r>
                    <w:rPr>
                      <w:rFonts w:hint="eastAsia" w:ascii="宋体" w:hAnsi="宋体" w:cs="宋体"/>
                      <w:bCs/>
                      <w:color w:val="0000FF"/>
                      <w:szCs w:val="21"/>
                      <w:lang w:val="en-US" w:eastAsia="zh-CN"/>
                    </w:rPr>
                    <w:t>40分</w:t>
                  </w:r>
                </w:p>
              </w:tc>
            </w:tr>
            <w:tr w14:paraId="28D1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1" w:type="dxa"/>
                  <w:tcBorders>
                    <w:right w:val="single" w:color="auto" w:sz="4" w:space="0"/>
                  </w:tcBorders>
                  <w:vAlign w:val="center"/>
                </w:tcPr>
                <w:p w14:paraId="4C4B7A3C">
                  <w:pPr>
                    <w:widowControl/>
                    <w:jc w:val="center"/>
                    <w:rPr>
                      <w:rFonts w:hint="eastAsia" w:ascii="宋体" w:hAnsi="宋体" w:eastAsia="宋体" w:cs="宋体"/>
                      <w:color w:val="0000FF"/>
                      <w:kern w:val="0"/>
                      <w:szCs w:val="21"/>
                      <w:lang w:eastAsia="zh-CN"/>
                    </w:rPr>
                  </w:pPr>
                  <w:r>
                    <w:rPr>
                      <w:rFonts w:hint="eastAsia" w:ascii="宋体" w:hAnsi="宋体" w:cs="宋体"/>
                      <w:color w:val="0000FF"/>
                      <w:kern w:val="0"/>
                      <w:szCs w:val="21"/>
                      <w:lang w:val="en-US" w:eastAsia="zh-CN"/>
                    </w:rPr>
                    <w:t>4</w:t>
                  </w:r>
                </w:p>
              </w:tc>
              <w:tc>
                <w:tcPr>
                  <w:tcW w:w="1366" w:type="dxa"/>
                  <w:tcBorders>
                    <w:left w:val="single" w:color="auto" w:sz="4" w:space="0"/>
                  </w:tcBorders>
                  <w:vAlign w:val="center"/>
                </w:tcPr>
                <w:p w14:paraId="64C110B3">
                  <w:pPr>
                    <w:widowControl/>
                    <w:jc w:val="center"/>
                    <w:textAlignment w:val="center"/>
                    <w:rPr>
                      <w:rFonts w:ascii="宋体" w:hAnsi="宋体" w:eastAsia="宋体" w:cs="宋体"/>
                      <w:color w:val="0000FF"/>
                      <w:szCs w:val="21"/>
                    </w:rPr>
                  </w:pPr>
                  <w:r>
                    <w:rPr>
                      <w:rFonts w:hint="eastAsia" w:ascii="宋体" w:hAnsi="宋体" w:eastAsia="宋体" w:cs="宋体"/>
                      <w:color w:val="0000FF"/>
                      <w:szCs w:val="21"/>
                    </w:rPr>
                    <w:t>人员配备</w:t>
                  </w:r>
                </w:p>
              </w:tc>
              <w:tc>
                <w:tcPr>
                  <w:tcW w:w="4737" w:type="dxa"/>
                  <w:vAlign w:val="center"/>
                </w:tcPr>
                <w:p w14:paraId="63EABE23">
                  <w:pPr>
                    <w:pStyle w:val="11"/>
                    <w:ind w:right="19"/>
                    <w:rPr>
                      <w:rFonts w:eastAsia="宋体"/>
                      <w:color w:val="0000FF"/>
                      <w:szCs w:val="21"/>
                      <w:lang w:val="en-US"/>
                    </w:rPr>
                  </w:pPr>
                  <w:r>
                    <w:rPr>
                      <w:rFonts w:hint="eastAsia" w:eastAsia="宋体"/>
                      <w:color w:val="0000FF"/>
                      <w:szCs w:val="21"/>
                      <w:lang w:val="en-US"/>
                    </w:rPr>
                    <w:t>供应商为本项目配备的人员：</w:t>
                  </w:r>
                </w:p>
                <w:p w14:paraId="212B9709">
                  <w:pPr>
                    <w:pStyle w:val="11"/>
                    <w:ind w:right="19" w:firstLine="210" w:firstLineChars="100"/>
                    <w:rPr>
                      <w:rFonts w:eastAsia="宋体"/>
                      <w:color w:val="0000FF"/>
                      <w:szCs w:val="21"/>
                      <w:lang w:val="en-US"/>
                    </w:rPr>
                  </w:pPr>
                  <w:r>
                    <w:rPr>
                      <w:rFonts w:hint="eastAsia" w:eastAsia="宋体"/>
                      <w:color w:val="0000FF"/>
                      <w:szCs w:val="21"/>
                      <w:lang w:val="en-US"/>
                    </w:rPr>
                    <w:t>核心团队</w:t>
                  </w:r>
                  <w:r>
                    <w:rPr>
                      <w:rFonts w:hint="eastAsia"/>
                      <w:color w:val="0000FF"/>
                      <w:szCs w:val="21"/>
                      <w:lang w:val="en-US" w:eastAsia="zh-CN"/>
                    </w:rPr>
                    <w:t>15-20</w:t>
                  </w:r>
                  <w:r>
                    <w:rPr>
                      <w:rFonts w:hint="eastAsia" w:eastAsia="宋体"/>
                      <w:color w:val="0000FF"/>
                      <w:szCs w:val="21"/>
                      <w:lang w:val="en-US"/>
                    </w:rPr>
                    <w:t>人，得</w:t>
                  </w:r>
                  <w:r>
                    <w:rPr>
                      <w:rFonts w:hint="eastAsia"/>
                      <w:color w:val="0000FF"/>
                      <w:szCs w:val="21"/>
                      <w:lang w:val="en-US" w:eastAsia="zh-CN"/>
                    </w:rPr>
                    <w:t>17-24</w:t>
                  </w:r>
                  <w:r>
                    <w:rPr>
                      <w:rFonts w:hint="eastAsia" w:eastAsia="宋体"/>
                      <w:color w:val="0000FF"/>
                      <w:szCs w:val="21"/>
                      <w:lang w:val="en-US"/>
                    </w:rPr>
                    <w:t>分；</w:t>
                  </w:r>
                </w:p>
                <w:p w14:paraId="279D33C8">
                  <w:pPr>
                    <w:pStyle w:val="11"/>
                    <w:ind w:right="19" w:firstLine="210" w:firstLineChars="100"/>
                    <w:rPr>
                      <w:rFonts w:eastAsia="宋体"/>
                      <w:color w:val="0000FF"/>
                      <w:szCs w:val="21"/>
                      <w:lang w:val="en-US"/>
                    </w:rPr>
                  </w:pPr>
                  <w:r>
                    <w:rPr>
                      <w:rFonts w:hint="eastAsia" w:eastAsia="宋体"/>
                      <w:color w:val="0000FF"/>
                      <w:szCs w:val="21"/>
                      <w:lang w:val="en-US"/>
                    </w:rPr>
                    <w:t>核心团队</w:t>
                  </w:r>
                  <w:r>
                    <w:rPr>
                      <w:rFonts w:hint="eastAsia"/>
                      <w:color w:val="0000FF"/>
                      <w:szCs w:val="21"/>
                      <w:lang w:val="en-US" w:eastAsia="zh-CN"/>
                    </w:rPr>
                    <w:t>10-15</w:t>
                  </w:r>
                  <w:r>
                    <w:rPr>
                      <w:rFonts w:hint="eastAsia" w:eastAsia="宋体"/>
                      <w:color w:val="0000FF"/>
                      <w:szCs w:val="21"/>
                      <w:lang w:val="en-US"/>
                    </w:rPr>
                    <w:t>人，得</w:t>
                  </w:r>
                  <w:r>
                    <w:rPr>
                      <w:rFonts w:hint="eastAsia"/>
                      <w:color w:val="0000FF"/>
                      <w:szCs w:val="21"/>
                      <w:lang w:val="en-US" w:eastAsia="zh-CN"/>
                    </w:rPr>
                    <w:t>9-16</w:t>
                  </w:r>
                  <w:r>
                    <w:rPr>
                      <w:rFonts w:hint="eastAsia" w:eastAsia="宋体"/>
                      <w:color w:val="0000FF"/>
                      <w:szCs w:val="21"/>
                      <w:lang w:val="en-US"/>
                    </w:rPr>
                    <w:t>分；</w:t>
                  </w:r>
                </w:p>
                <w:p w14:paraId="61570E73">
                  <w:pPr>
                    <w:pStyle w:val="11"/>
                    <w:ind w:right="19" w:firstLine="210" w:firstLineChars="100"/>
                    <w:rPr>
                      <w:rFonts w:eastAsia="宋体"/>
                      <w:color w:val="0000FF"/>
                      <w:szCs w:val="21"/>
                      <w:lang w:val="en-US"/>
                    </w:rPr>
                  </w:pPr>
                  <w:r>
                    <w:rPr>
                      <w:rFonts w:hint="eastAsia" w:eastAsia="宋体"/>
                      <w:color w:val="0000FF"/>
                      <w:szCs w:val="21"/>
                      <w:lang w:val="en-US"/>
                    </w:rPr>
                    <w:t>核心团队＜</w:t>
                  </w:r>
                  <w:r>
                    <w:rPr>
                      <w:rFonts w:hint="eastAsia"/>
                      <w:color w:val="0000FF"/>
                      <w:szCs w:val="21"/>
                      <w:lang w:val="en-US" w:eastAsia="zh-CN"/>
                    </w:rPr>
                    <w:t>10</w:t>
                  </w:r>
                  <w:r>
                    <w:rPr>
                      <w:rFonts w:hint="eastAsia" w:eastAsia="宋体"/>
                      <w:color w:val="0000FF"/>
                      <w:szCs w:val="21"/>
                      <w:lang w:val="en-US"/>
                    </w:rPr>
                    <w:t>人，得</w:t>
                  </w:r>
                  <w:r>
                    <w:rPr>
                      <w:rFonts w:hint="eastAsia"/>
                      <w:color w:val="0000FF"/>
                      <w:szCs w:val="21"/>
                      <w:lang w:val="en-US" w:eastAsia="zh-CN"/>
                    </w:rPr>
                    <w:t>0-8</w:t>
                  </w:r>
                  <w:r>
                    <w:rPr>
                      <w:rFonts w:hint="eastAsia" w:eastAsia="宋体"/>
                      <w:color w:val="0000FF"/>
                      <w:szCs w:val="21"/>
                      <w:lang w:val="en-US"/>
                    </w:rPr>
                    <w:t>分；</w:t>
                  </w:r>
                </w:p>
                <w:p w14:paraId="04BE24DB">
                  <w:pPr>
                    <w:pStyle w:val="11"/>
                    <w:ind w:right="19"/>
                    <w:rPr>
                      <w:rFonts w:eastAsia="宋体"/>
                      <w:color w:val="0000FF"/>
                      <w:szCs w:val="21"/>
                      <w:lang w:val="en-US"/>
                    </w:rPr>
                  </w:pPr>
                  <w:r>
                    <w:rPr>
                      <w:rFonts w:hint="eastAsia" w:eastAsia="宋体"/>
                      <w:color w:val="0000FF"/>
                      <w:szCs w:val="21"/>
                      <w:lang w:val="en-US"/>
                    </w:rPr>
                    <w:t>注：响应文件中需提供团队人员配备一览表，并提供供应商为上述人员缴纳的截止开标之日前 6个月内任意一个月的</w:t>
                  </w:r>
                  <w:r>
                    <w:rPr>
                      <w:rFonts w:hint="eastAsia" w:eastAsia="宋体"/>
                      <w:b/>
                      <w:bCs/>
                      <w:color w:val="0000FF"/>
                      <w:szCs w:val="21"/>
                      <w:lang w:val="en-US"/>
                    </w:rPr>
                    <w:t>社保证明</w:t>
                  </w:r>
                  <w:r>
                    <w:rPr>
                      <w:rFonts w:hint="eastAsia" w:eastAsia="宋体"/>
                      <w:color w:val="0000FF"/>
                      <w:szCs w:val="21"/>
                      <w:lang w:val="en-US"/>
                    </w:rPr>
                    <w:t>材料，否则不得分。</w:t>
                  </w:r>
                </w:p>
              </w:tc>
              <w:tc>
                <w:tcPr>
                  <w:tcW w:w="2514" w:type="dxa"/>
                  <w:vAlign w:val="center"/>
                </w:tcPr>
                <w:p w14:paraId="2FC46D19">
                  <w:pPr>
                    <w:rPr>
                      <w:rFonts w:hint="default" w:ascii="宋体" w:hAnsi="宋体" w:eastAsia="宋体" w:cs="宋体"/>
                      <w:color w:val="0000FF"/>
                      <w:szCs w:val="21"/>
                      <w:lang w:val="en-US" w:eastAsia="zh-CN"/>
                    </w:rPr>
                  </w:pPr>
                  <w:r>
                    <w:rPr>
                      <w:rFonts w:hint="eastAsia" w:ascii="宋体" w:hAnsi="宋体" w:cs="宋体"/>
                      <w:bCs/>
                      <w:color w:val="0000FF"/>
                      <w:szCs w:val="21"/>
                      <w:lang w:val="en-US" w:eastAsia="zh-CN"/>
                    </w:rPr>
                    <w:t>24分</w:t>
                  </w:r>
                </w:p>
              </w:tc>
            </w:tr>
            <w:tr w14:paraId="450D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1241" w:type="dxa"/>
                  <w:tcBorders>
                    <w:right w:val="single" w:color="auto" w:sz="4" w:space="0"/>
                  </w:tcBorders>
                  <w:vAlign w:val="center"/>
                </w:tcPr>
                <w:p w14:paraId="2A78110B">
                  <w:pPr>
                    <w:widowControl/>
                    <w:jc w:val="center"/>
                    <w:rPr>
                      <w:rFonts w:hint="eastAsia" w:ascii="宋体" w:hAnsi="宋体" w:eastAsia="宋体" w:cs="宋体"/>
                      <w:color w:val="0000FF"/>
                      <w:kern w:val="0"/>
                      <w:szCs w:val="21"/>
                      <w:lang w:eastAsia="zh-CN"/>
                    </w:rPr>
                  </w:pPr>
                  <w:r>
                    <w:rPr>
                      <w:rFonts w:hint="eastAsia" w:ascii="宋体" w:hAnsi="宋体" w:cs="宋体"/>
                      <w:color w:val="0000FF"/>
                      <w:kern w:val="0"/>
                      <w:szCs w:val="21"/>
                      <w:lang w:val="en-US" w:eastAsia="zh-CN"/>
                    </w:rPr>
                    <w:t>5</w:t>
                  </w:r>
                </w:p>
              </w:tc>
              <w:tc>
                <w:tcPr>
                  <w:tcW w:w="1366" w:type="dxa"/>
                  <w:tcBorders>
                    <w:left w:val="single" w:color="auto" w:sz="4" w:space="0"/>
                  </w:tcBorders>
                  <w:vAlign w:val="center"/>
                </w:tcPr>
                <w:p w14:paraId="15FA694B">
                  <w:pPr>
                    <w:widowControl/>
                    <w:jc w:val="center"/>
                    <w:textAlignment w:val="center"/>
                    <w:rPr>
                      <w:rFonts w:ascii="宋体" w:hAnsi="宋体" w:eastAsia="宋体" w:cs="宋体"/>
                      <w:color w:val="0000FF"/>
                      <w:szCs w:val="21"/>
                    </w:rPr>
                  </w:pPr>
                  <w:r>
                    <w:rPr>
                      <w:rFonts w:hint="eastAsia" w:ascii="宋体" w:hAnsi="宋体" w:eastAsia="宋体" w:cs="宋体"/>
                      <w:color w:val="0000FF"/>
                      <w:szCs w:val="21"/>
                    </w:rPr>
                    <w:t>价格部分</w:t>
                  </w:r>
                </w:p>
              </w:tc>
              <w:tc>
                <w:tcPr>
                  <w:tcW w:w="4737" w:type="dxa"/>
                  <w:vAlign w:val="center"/>
                </w:tcPr>
                <w:p w14:paraId="422D569A">
                  <w:pPr>
                    <w:pStyle w:val="11"/>
                    <w:ind w:right="19"/>
                    <w:rPr>
                      <w:rFonts w:eastAsia="宋体"/>
                      <w:color w:val="0000FF"/>
                      <w:sz w:val="28"/>
                      <w:szCs w:val="28"/>
                    </w:rPr>
                  </w:pPr>
                  <w:r>
                    <w:rPr>
                      <w:rFonts w:hint="eastAsia" w:eastAsia="宋体"/>
                      <w:color w:val="0000FF"/>
                      <w:szCs w:val="21"/>
                    </w:rPr>
                    <w:t>价格分统一采用低价优先法，即满足磋商文件要求且投标价格最低的投标报价为评标基准价，其价格分为满分 1</w:t>
                  </w:r>
                  <w:r>
                    <w:rPr>
                      <w:rFonts w:hint="eastAsia"/>
                      <w:color w:val="0000FF"/>
                      <w:szCs w:val="21"/>
                      <w:lang w:val="en-US" w:eastAsia="zh-CN"/>
                    </w:rPr>
                    <w:t>0</w:t>
                  </w:r>
                  <w:r>
                    <w:rPr>
                      <w:rFonts w:hint="eastAsia" w:eastAsia="宋体"/>
                      <w:color w:val="0000FF"/>
                      <w:szCs w:val="21"/>
                    </w:rPr>
                    <w:t>分。其他投标供应商的价格分统一按照下列公式计算：投标报价得分＝（评标基准价/投标报价）×1</w:t>
                  </w:r>
                  <w:r>
                    <w:rPr>
                      <w:rFonts w:hint="eastAsia"/>
                      <w:color w:val="0000FF"/>
                      <w:szCs w:val="21"/>
                      <w:lang w:val="en-US" w:eastAsia="zh-CN"/>
                    </w:rPr>
                    <w:t>0</w:t>
                  </w:r>
                  <w:r>
                    <w:rPr>
                      <w:rFonts w:hint="eastAsia" w:eastAsia="宋体"/>
                      <w:color w:val="0000FF"/>
                      <w:szCs w:val="21"/>
                    </w:rPr>
                    <w:t>％×100</w:t>
                  </w:r>
                  <w:bookmarkStart w:id="0" w:name="_GoBack"/>
                  <w:bookmarkEnd w:id="0"/>
                </w:p>
              </w:tc>
              <w:tc>
                <w:tcPr>
                  <w:tcW w:w="2514" w:type="dxa"/>
                  <w:vAlign w:val="center"/>
                </w:tcPr>
                <w:p w14:paraId="0272DDD0">
                  <w:pPr>
                    <w:rPr>
                      <w:rFonts w:hint="eastAsia" w:ascii="宋体" w:hAnsi="宋体" w:eastAsia="宋体" w:cs="宋体"/>
                      <w:color w:val="0000FF"/>
                      <w:szCs w:val="21"/>
                      <w:lang w:val="en-US" w:eastAsia="zh-CN"/>
                    </w:rPr>
                  </w:pPr>
                  <w:r>
                    <w:rPr>
                      <w:rFonts w:hint="eastAsia" w:ascii="宋体" w:hAnsi="宋体" w:eastAsia="宋体" w:cs="宋体"/>
                      <w:bCs/>
                      <w:color w:val="0000FF"/>
                      <w:szCs w:val="21"/>
                    </w:rPr>
                    <w:t>1</w:t>
                  </w:r>
                  <w:r>
                    <w:rPr>
                      <w:rFonts w:hint="eastAsia" w:ascii="宋体" w:hAnsi="宋体" w:cs="宋体"/>
                      <w:bCs/>
                      <w:color w:val="0000FF"/>
                      <w:szCs w:val="21"/>
                      <w:lang w:val="en-US" w:eastAsia="zh-CN"/>
                    </w:rPr>
                    <w:t>0分</w:t>
                  </w:r>
                </w:p>
              </w:tc>
            </w:tr>
          </w:tbl>
          <w:p w14:paraId="4094A3F9">
            <w:pPr>
              <w:widowControl/>
              <w:spacing w:line="520" w:lineRule="exact"/>
              <w:jc w:val="left"/>
            </w:pPr>
          </w:p>
        </w:tc>
      </w:tr>
      <w:tr w14:paraId="0FA182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46"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3DFE13AA">
            <w:pPr>
              <w:widowControl/>
              <w:spacing w:line="520" w:lineRule="exact"/>
              <w:jc w:val="left"/>
              <w:rPr>
                <w:color w:val="auto"/>
              </w:rPr>
            </w:pPr>
            <w:r>
              <w:rPr>
                <w:rFonts w:hint="eastAsia" w:ascii="微软雅黑" w:hAnsi="微软雅黑" w:eastAsia="微软雅黑" w:cs="微软雅黑"/>
                <w:color w:val="auto"/>
                <w:kern w:val="0"/>
                <w:sz w:val="24"/>
              </w:rPr>
              <w:t>项目经办人：</w:t>
            </w:r>
            <w:r>
              <w:rPr>
                <w:rFonts w:hint="eastAsia" w:ascii="微软雅黑" w:hAnsi="微软雅黑" w:eastAsia="微软雅黑" w:cs="微软雅黑"/>
                <w:color w:val="auto"/>
                <w:kern w:val="0"/>
                <w:sz w:val="24"/>
                <w:lang w:eastAsia="zh-CN"/>
              </w:rPr>
              <w:t>李然</w:t>
            </w:r>
            <w:r>
              <w:rPr>
                <w:rFonts w:hint="eastAsia" w:ascii="微软雅黑" w:hAnsi="微软雅黑" w:eastAsia="微软雅黑" w:cs="微软雅黑"/>
                <w:color w:val="auto"/>
                <w:kern w:val="0"/>
                <w:sz w:val="24"/>
                <w:lang w:val="en-US" w:eastAsia="zh-CN"/>
              </w:rPr>
              <w:t xml:space="preserve"> </w:t>
            </w:r>
            <w:r>
              <w:rPr>
                <w:rFonts w:hint="eastAsia" w:ascii="微软雅黑" w:hAnsi="微软雅黑" w:eastAsia="微软雅黑" w:cs="微软雅黑"/>
                <w:color w:val="auto"/>
                <w:kern w:val="0"/>
                <w:sz w:val="24"/>
                <w:lang w:eastAsia="zh-CN"/>
              </w:rPr>
              <w:t>高理洲</w:t>
            </w:r>
            <w:r>
              <w:rPr>
                <w:rFonts w:hint="eastAsia" w:ascii="微软雅黑" w:hAnsi="微软雅黑" w:eastAsia="微软雅黑" w:cs="微软雅黑"/>
                <w:color w:val="auto"/>
                <w:kern w:val="0"/>
                <w:sz w:val="24"/>
              </w:rPr>
              <w:t>       </w:t>
            </w:r>
          </w:p>
          <w:p w14:paraId="4050BB10">
            <w:pPr>
              <w:widowControl/>
              <w:spacing w:line="520" w:lineRule="exact"/>
              <w:jc w:val="left"/>
              <w:rPr>
                <w:color w:val="auto"/>
              </w:rPr>
            </w:pPr>
            <w:r>
              <w:rPr>
                <w:rFonts w:hint="eastAsia" w:ascii="微软雅黑" w:hAnsi="微软雅黑" w:eastAsia="微软雅黑" w:cs="微软雅黑"/>
                <w:color w:val="auto"/>
                <w:kern w:val="0"/>
                <w:sz w:val="24"/>
              </w:rPr>
              <w:t>电话：0551-677</w:t>
            </w:r>
            <w:r>
              <w:rPr>
                <w:rFonts w:hint="eastAsia" w:ascii="微软雅黑" w:hAnsi="微软雅黑" w:eastAsia="微软雅黑" w:cs="微软雅黑"/>
                <w:color w:val="auto"/>
                <w:kern w:val="0"/>
                <w:sz w:val="24"/>
                <w:lang w:val="en-US" w:eastAsia="zh-CN"/>
              </w:rPr>
              <w:t>59711</w:t>
            </w:r>
            <w:r>
              <w:rPr>
                <w:rFonts w:hint="eastAsia" w:ascii="微软雅黑" w:hAnsi="微软雅黑" w:eastAsia="微软雅黑" w:cs="微软雅黑"/>
                <w:color w:val="auto"/>
                <w:kern w:val="0"/>
                <w:sz w:val="24"/>
              </w:rPr>
              <w:t>   </w:t>
            </w:r>
          </w:p>
          <w:p w14:paraId="05A02A3A">
            <w:pPr>
              <w:widowControl/>
              <w:spacing w:line="520" w:lineRule="exact"/>
              <w:jc w:val="left"/>
              <w:rPr>
                <w:color w:val="auto"/>
              </w:rPr>
            </w:pPr>
            <w:r>
              <w:rPr>
                <w:rFonts w:hint="eastAsia" w:ascii="微软雅黑" w:hAnsi="微软雅黑" w:eastAsia="微软雅黑" w:cs="微软雅黑"/>
                <w:color w:val="auto"/>
                <w:kern w:val="0"/>
                <w:sz w:val="24"/>
              </w:rPr>
              <w:t>项目监督人：蒋先荣</w:t>
            </w:r>
          </w:p>
          <w:p w14:paraId="6BE2AF2D">
            <w:pPr>
              <w:widowControl/>
              <w:spacing w:line="520" w:lineRule="exact"/>
              <w:jc w:val="left"/>
              <w:rPr>
                <w:color w:val="auto"/>
              </w:rPr>
            </w:pPr>
            <w:r>
              <w:rPr>
                <w:rFonts w:hint="eastAsia" w:ascii="微软雅黑" w:hAnsi="微软雅黑" w:eastAsia="微软雅黑" w:cs="微软雅黑"/>
                <w:color w:val="auto"/>
                <w:kern w:val="0"/>
                <w:sz w:val="24"/>
              </w:rPr>
              <w:t>电话：0551-</w:t>
            </w:r>
            <w:r>
              <w:rPr>
                <w:rFonts w:hint="eastAsia" w:ascii="微软雅黑" w:hAnsi="微软雅黑" w:eastAsia="微软雅黑" w:cs="宋体"/>
                <w:color w:val="auto"/>
                <w:kern w:val="0"/>
                <w:sz w:val="24"/>
              </w:rPr>
              <w:t>677</w:t>
            </w:r>
            <w:r>
              <w:rPr>
                <w:rFonts w:hint="eastAsia" w:ascii="微软雅黑" w:hAnsi="微软雅黑" w:eastAsia="微软雅黑" w:cs="宋体"/>
                <w:color w:val="auto"/>
                <w:kern w:val="0"/>
                <w:sz w:val="24"/>
                <w:lang w:val="en-US" w:eastAsia="zh-CN"/>
              </w:rPr>
              <w:t>11928</w:t>
            </w:r>
            <w:r>
              <w:rPr>
                <w:rFonts w:hint="eastAsia" w:ascii="微软雅黑" w:hAnsi="微软雅黑" w:eastAsia="微软雅黑" w:cs="微软雅黑"/>
                <w:color w:val="auto"/>
                <w:kern w:val="0"/>
                <w:sz w:val="24"/>
              </w:rPr>
              <w:t>               </w:t>
            </w:r>
          </w:p>
          <w:p w14:paraId="78BBB67C">
            <w:pPr>
              <w:widowControl/>
              <w:spacing w:line="520" w:lineRule="exact"/>
              <w:jc w:val="left"/>
              <w:rPr>
                <w:color w:val="auto"/>
              </w:rPr>
            </w:pPr>
            <w:r>
              <w:rPr>
                <w:rFonts w:hint="eastAsia" w:ascii="微软雅黑" w:hAnsi="微软雅黑" w:eastAsia="微软雅黑" w:cs="微软雅黑"/>
                <w:color w:val="auto"/>
                <w:kern w:val="0"/>
                <w:sz w:val="24"/>
              </w:rPr>
              <w:t>                                                                  </w:t>
            </w:r>
            <w:r>
              <w:rPr>
                <w:rFonts w:hint="eastAsia" w:ascii="微软雅黑" w:hAnsi="微软雅黑" w:eastAsia="微软雅黑" w:cs="微软雅黑"/>
                <w:color w:val="auto"/>
                <w:kern w:val="0"/>
                <w:sz w:val="24"/>
                <w:lang w:val="en-US" w:eastAsia="zh-CN"/>
              </w:rPr>
              <w:t xml:space="preserve">         </w:t>
            </w:r>
            <w:r>
              <w:rPr>
                <w:rFonts w:hint="eastAsia" w:ascii="微软雅黑" w:hAnsi="微软雅黑" w:eastAsia="微软雅黑" w:cs="微软雅黑"/>
                <w:color w:val="auto"/>
                <w:kern w:val="0"/>
                <w:sz w:val="24"/>
              </w:rPr>
              <w:t>中共肥东县委宣传部</w:t>
            </w:r>
          </w:p>
          <w:p w14:paraId="625382BD">
            <w:pPr>
              <w:widowControl/>
              <w:spacing w:line="520" w:lineRule="exact"/>
              <w:jc w:val="right"/>
            </w:pPr>
            <w:r>
              <w:rPr>
                <w:rFonts w:hint="eastAsia" w:ascii="微软雅黑" w:hAnsi="微软雅黑" w:eastAsia="微软雅黑" w:cs="微软雅黑"/>
                <w:b/>
                <w:bCs/>
                <w:color w:val="auto"/>
                <w:kern w:val="0"/>
                <w:sz w:val="24"/>
              </w:rPr>
              <w:t>20</w:t>
            </w:r>
            <w:r>
              <w:rPr>
                <w:rFonts w:hint="eastAsia" w:ascii="微软雅黑" w:hAnsi="微软雅黑" w:eastAsia="微软雅黑" w:cs="微软雅黑"/>
                <w:b/>
                <w:bCs/>
                <w:color w:val="auto"/>
                <w:kern w:val="0"/>
                <w:sz w:val="24"/>
                <w:lang w:val="en-US" w:eastAsia="zh-CN"/>
              </w:rPr>
              <w:t>25</w:t>
            </w:r>
            <w:r>
              <w:rPr>
                <w:rFonts w:hint="eastAsia" w:ascii="微软雅黑" w:hAnsi="微软雅黑" w:eastAsia="微软雅黑" w:cs="微软雅黑"/>
                <w:b/>
                <w:bCs/>
                <w:color w:val="auto"/>
                <w:kern w:val="0"/>
                <w:sz w:val="24"/>
              </w:rPr>
              <w:t xml:space="preserve">年 </w:t>
            </w:r>
            <w:r>
              <w:rPr>
                <w:rFonts w:hint="eastAsia" w:ascii="微软雅黑" w:hAnsi="微软雅黑" w:eastAsia="微软雅黑" w:cs="微软雅黑"/>
                <w:b/>
                <w:bCs/>
                <w:color w:val="auto"/>
                <w:kern w:val="0"/>
                <w:sz w:val="24"/>
                <w:lang w:val="en-US" w:eastAsia="zh-CN"/>
              </w:rPr>
              <w:t>3</w:t>
            </w:r>
            <w:r>
              <w:rPr>
                <w:rFonts w:hint="eastAsia" w:ascii="微软雅黑" w:hAnsi="微软雅黑" w:eastAsia="微软雅黑" w:cs="微软雅黑"/>
                <w:b/>
                <w:bCs/>
                <w:color w:val="auto"/>
                <w:kern w:val="0"/>
                <w:sz w:val="24"/>
              </w:rPr>
              <w:t>月</w:t>
            </w:r>
            <w:r>
              <w:rPr>
                <w:rFonts w:hint="eastAsia" w:ascii="微软雅黑" w:hAnsi="微软雅黑" w:eastAsia="微软雅黑" w:cs="微软雅黑"/>
                <w:b/>
                <w:bCs/>
                <w:color w:val="auto"/>
                <w:kern w:val="0"/>
                <w:sz w:val="24"/>
                <w:lang w:val="en-US" w:eastAsia="zh-CN"/>
              </w:rPr>
              <w:t>14</w:t>
            </w:r>
            <w:r>
              <w:rPr>
                <w:rFonts w:hint="eastAsia" w:ascii="微软雅黑" w:hAnsi="微软雅黑" w:eastAsia="微软雅黑" w:cs="微软雅黑"/>
                <w:color w:val="auto"/>
                <w:kern w:val="0"/>
                <w:sz w:val="24"/>
              </w:rPr>
              <w:t>日</w:t>
            </w:r>
          </w:p>
        </w:tc>
      </w:tr>
    </w:tbl>
    <w:p w14:paraId="1EEB3C7B"/>
    <w:p w14:paraId="05A45AEC"/>
    <w:p w14:paraId="2FDE30F0"/>
    <w:p w14:paraId="16F7BE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9B22A"/>
    <w:multiLevelType w:val="singleLevel"/>
    <w:tmpl w:val="D509B22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Mzk0NTY1YjFjMWIwMzg5ODViMjliYjJlN2IxNzkifQ=="/>
  </w:docVars>
  <w:rsids>
    <w:rsidRoot w:val="00000000"/>
    <w:rsid w:val="00F22F9D"/>
    <w:rsid w:val="0A16130F"/>
    <w:rsid w:val="14066C5E"/>
    <w:rsid w:val="264D4DE5"/>
    <w:rsid w:val="2B01520C"/>
    <w:rsid w:val="2E41485D"/>
    <w:rsid w:val="31635038"/>
    <w:rsid w:val="33B05ADC"/>
    <w:rsid w:val="38716FBC"/>
    <w:rsid w:val="3B7346FF"/>
    <w:rsid w:val="3E8756F8"/>
    <w:rsid w:val="42D95B66"/>
    <w:rsid w:val="44840F1C"/>
    <w:rsid w:val="46B732B1"/>
    <w:rsid w:val="475908A0"/>
    <w:rsid w:val="49FB5243"/>
    <w:rsid w:val="4F9B038E"/>
    <w:rsid w:val="557B0852"/>
    <w:rsid w:val="5841533E"/>
    <w:rsid w:val="5AA961BD"/>
    <w:rsid w:val="5ADE09E0"/>
    <w:rsid w:val="5C40076E"/>
    <w:rsid w:val="623D26D8"/>
    <w:rsid w:val="648A13EA"/>
    <w:rsid w:val="64E1790F"/>
    <w:rsid w:val="67D10C3D"/>
    <w:rsid w:val="680B659B"/>
    <w:rsid w:val="698718B2"/>
    <w:rsid w:val="6A914ED2"/>
    <w:rsid w:val="6EC304C5"/>
    <w:rsid w:val="6FB759AF"/>
    <w:rsid w:val="71C92AE5"/>
    <w:rsid w:val="77847C7C"/>
    <w:rsid w:val="780350F4"/>
    <w:rsid w:val="782252CE"/>
    <w:rsid w:val="7C5304F3"/>
    <w:rsid w:val="7DA4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qFormat/>
    <w:uiPriority w:val="0"/>
    <w:rPr>
      <w:rFonts w:ascii="Calibri" w:hAnsi="Calibri" w:cs="Calibri"/>
      <w:color w:val="000000"/>
      <w:sz w:val="20"/>
      <w:szCs w:val="20"/>
      <w:u w:val="none"/>
    </w:rPr>
  </w:style>
  <w:style w:type="paragraph" w:styleId="10">
    <w:name w:val="List Paragraph"/>
    <w:basedOn w:val="1"/>
    <w:qFormat/>
    <w:uiPriority w:val="34"/>
    <w:pPr>
      <w:ind w:firstLine="420" w:firstLineChars="200"/>
    </w:pPr>
    <w:rPr>
      <w:szCs w:val="22"/>
    </w:rPr>
  </w:style>
  <w:style w:type="paragraph" w:customStyle="1" w:styleId="11">
    <w:name w:val="Table Paragraph"/>
    <w:basedOn w:val="1"/>
    <w:qFormat/>
    <w:uiPriority w:val="0"/>
    <w:rPr>
      <w:rFonts w:ascii="宋体" w:hAnsi="宋体" w:cs="宋体"/>
      <w:lang w:val="zh-CN" w:bidi="zh-CN"/>
    </w:rPr>
  </w:style>
  <w:style w:type="character" w:customStyle="1" w:styleId="12">
    <w:name w:val="页眉 Char"/>
    <w:basedOn w:val="8"/>
    <w:link w:val="4"/>
    <w:qFormat/>
    <w:uiPriority w:val="99"/>
    <w:rPr>
      <w:kern w:val="2"/>
      <w:sz w:val="18"/>
      <w:szCs w:val="18"/>
    </w:rPr>
  </w:style>
  <w:style w:type="character" w:customStyle="1" w:styleId="13">
    <w:name w:val="页脚 Char"/>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D0260-E75B-49F5-8349-52A1FFA00606}">
  <ds:schemaRefs/>
</ds:datastoreItem>
</file>

<file path=docProps/app.xml><?xml version="1.0" encoding="utf-8"?>
<Properties xmlns="http://schemas.openxmlformats.org/officeDocument/2006/extended-properties" xmlns:vt="http://schemas.openxmlformats.org/officeDocument/2006/docPropsVTypes">
  <Template>Normal</Template>
  <Pages>5</Pages>
  <Words>2634</Words>
  <Characters>2820</Characters>
  <Paragraphs>386</Paragraphs>
  <TotalTime>8</TotalTime>
  <ScaleCrop>false</ScaleCrop>
  <LinksUpToDate>false</LinksUpToDate>
  <CharactersWithSpaces>2960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2024-06-28T07:03:00Z</dcterms:created>
  <dc:creator>user3</dc:creator>
  <cp:lastModifiedBy>sweet</cp:lastModifiedBy>
  <cp:lastPrinted>2024-07-30T02:08:00Z</cp:lastPrinted>
  <dcterms:modified xsi:type="dcterms:W3CDTF">2025-03-14T07:48:04Z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E04D89049D6647FA8005FD10A62C0B40_13</vt:lpwstr>
  </property>
  <property fmtid="{D5CDD505-2E9C-101B-9397-08002B2CF9AE}" pid="4" name="KSOTemplateDocerSaveRecord">
    <vt:lpwstr>eyJoZGlkIjoiNjc2NjYwODMwMjBlNDViMDUwMDZiMTBiZTVjYzM4OWIiLCJ1c2VySWQiOiIxNTc0NTgwNDg4In0=</vt:lpwstr>
  </property>
</Properties>
</file>